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6C87" w14:textId="288C30E6"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 xml:space="preserve">Bogotá D.C., </w:t>
      </w:r>
      <w:r w:rsidR="00AF77CF">
        <w:rPr>
          <w:rFonts w:ascii="Gadugi" w:eastAsia="Century Gothic" w:hAnsi="Gadugi" w:cs="Century Gothic"/>
          <w:sz w:val="22"/>
          <w:szCs w:val="22"/>
        </w:rPr>
        <w:t xml:space="preserve">mayo 6 de 2025. </w:t>
      </w:r>
    </w:p>
    <w:p w14:paraId="4CDB2ECA" w14:textId="77777777" w:rsidR="004B2688" w:rsidRPr="00D2146A" w:rsidRDefault="004B2688" w:rsidP="004B2688">
      <w:pPr>
        <w:rPr>
          <w:rFonts w:ascii="Gadugi" w:eastAsia="Century Gothic" w:hAnsi="Gadugi" w:cs="Century Gothic"/>
          <w:sz w:val="22"/>
          <w:szCs w:val="22"/>
        </w:rPr>
      </w:pPr>
    </w:p>
    <w:p w14:paraId="4EC6CD86" w14:textId="77777777" w:rsidR="00AF77CF" w:rsidRDefault="00AF77CF" w:rsidP="004B2688">
      <w:pPr>
        <w:rPr>
          <w:rFonts w:ascii="Gadugi" w:eastAsia="Century Gothic" w:hAnsi="Gadugi" w:cs="Century Gothic"/>
          <w:sz w:val="22"/>
          <w:szCs w:val="22"/>
        </w:rPr>
      </w:pPr>
    </w:p>
    <w:p w14:paraId="0F9EDA9F" w14:textId="236758CF"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Honorable Representante</w:t>
      </w:r>
    </w:p>
    <w:p w14:paraId="5C35B411" w14:textId="77777777" w:rsidR="00552271" w:rsidRPr="00D2146A" w:rsidRDefault="003F2C4A" w:rsidP="004B2688">
      <w:pPr>
        <w:rPr>
          <w:rFonts w:ascii="Gadugi" w:eastAsia="Century Gothic" w:hAnsi="Gadugi" w:cs="Century Gothic"/>
          <w:b/>
          <w:sz w:val="22"/>
          <w:szCs w:val="22"/>
        </w:rPr>
      </w:pPr>
      <w:r w:rsidRPr="00D2146A">
        <w:rPr>
          <w:rFonts w:ascii="Gadugi" w:eastAsia="Century Gothic" w:hAnsi="Gadugi" w:cs="Century Gothic"/>
          <w:b/>
          <w:sz w:val="22"/>
          <w:szCs w:val="22"/>
        </w:rPr>
        <w:t>ANA PAOLA GARCÍA SOTO</w:t>
      </w:r>
    </w:p>
    <w:p w14:paraId="1349D3C2"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Presidenta Comisión Primera Constitucional Permanente</w:t>
      </w:r>
    </w:p>
    <w:p w14:paraId="124D7C51"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Cámara de Representantes</w:t>
      </w:r>
    </w:p>
    <w:p w14:paraId="41A6E3CD"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Ciudad.</w:t>
      </w:r>
    </w:p>
    <w:p w14:paraId="3A7E080A" w14:textId="77777777" w:rsidR="00552271" w:rsidRPr="00D2146A" w:rsidRDefault="00552271" w:rsidP="004B2688">
      <w:pPr>
        <w:rPr>
          <w:rFonts w:ascii="Gadugi" w:eastAsia="Century Gothic" w:hAnsi="Gadugi" w:cs="Century Gothic"/>
          <w:b/>
          <w:sz w:val="22"/>
          <w:szCs w:val="22"/>
        </w:rPr>
      </w:pPr>
    </w:p>
    <w:p w14:paraId="7FACE48B" w14:textId="657E7B5F" w:rsidR="00D2146A" w:rsidRPr="00D2146A" w:rsidRDefault="00AF77CF" w:rsidP="00D2146A">
      <w:pPr>
        <w:pBdr>
          <w:top w:val="nil"/>
          <w:left w:val="nil"/>
          <w:bottom w:val="nil"/>
          <w:right w:val="nil"/>
          <w:between w:val="nil"/>
        </w:pBdr>
        <w:shd w:val="clear" w:color="auto" w:fill="FFFFFF"/>
        <w:ind w:left="851"/>
        <w:jc w:val="both"/>
        <w:rPr>
          <w:rFonts w:ascii="Gadugi" w:eastAsia="Century Gothic" w:hAnsi="Gadugi" w:cs="Century Gothic"/>
          <w:color w:val="000000"/>
          <w:sz w:val="22"/>
          <w:szCs w:val="22"/>
        </w:rPr>
      </w:pPr>
      <w:r>
        <w:rPr>
          <w:rFonts w:ascii="Gadugi" w:eastAsia="Century Gothic" w:hAnsi="Gadugi" w:cs="Century Gothic"/>
          <w:b/>
          <w:color w:val="000000"/>
          <w:sz w:val="22"/>
          <w:szCs w:val="22"/>
        </w:rPr>
        <w:br/>
      </w:r>
      <w:r w:rsidR="003F2C4A" w:rsidRPr="00D2146A">
        <w:rPr>
          <w:rFonts w:ascii="Gadugi" w:eastAsia="Century Gothic" w:hAnsi="Gadugi" w:cs="Century Gothic"/>
          <w:b/>
          <w:color w:val="000000"/>
          <w:sz w:val="22"/>
          <w:szCs w:val="22"/>
        </w:rPr>
        <w:t xml:space="preserve">Referencia: </w:t>
      </w:r>
      <w:r w:rsidR="003F2C4A" w:rsidRPr="00D2146A">
        <w:rPr>
          <w:rFonts w:ascii="Gadugi" w:eastAsia="Century Gothic" w:hAnsi="Gadugi" w:cs="Century Gothic"/>
          <w:color w:val="000000"/>
          <w:sz w:val="22"/>
          <w:szCs w:val="22"/>
        </w:rPr>
        <w:t xml:space="preserve">Informe de </w:t>
      </w:r>
      <w:r>
        <w:rPr>
          <w:rFonts w:ascii="Gadugi" w:eastAsia="Century Gothic" w:hAnsi="Gadugi" w:cs="Century Gothic"/>
          <w:color w:val="000000"/>
          <w:sz w:val="22"/>
          <w:szCs w:val="22"/>
        </w:rPr>
        <w:t>p</w:t>
      </w:r>
      <w:r w:rsidR="003F2C4A" w:rsidRPr="00D2146A">
        <w:rPr>
          <w:rFonts w:ascii="Gadugi" w:eastAsia="Century Gothic" w:hAnsi="Gadugi" w:cs="Century Gothic"/>
          <w:color w:val="000000"/>
          <w:sz w:val="22"/>
          <w:szCs w:val="22"/>
        </w:rPr>
        <w:t xml:space="preserve">onencia para </w:t>
      </w:r>
      <w:r w:rsidR="00F5468B">
        <w:rPr>
          <w:rFonts w:ascii="Gadugi" w:eastAsia="Century Gothic" w:hAnsi="Gadugi" w:cs="Century Gothic"/>
          <w:color w:val="000000"/>
          <w:sz w:val="22"/>
          <w:szCs w:val="22"/>
        </w:rPr>
        <w:t>segundo</w:t>
      </w:r>
      <w:r w:rsidR="003F2C4A" w:rsidRPr="00D2146A">
        <w:rPr>
          <w:rFonts w:ascii="Gadugi" w:eastAsia="Century Gothic" w:hAnsi="Gadugi" w:cs="Century Gothic"/>
          <w:color w:val="000000"/>
          <w:sz w:val="22"/>
          <w:szCs w:val="22"/>
        </w:rPr>
        <w:t xml:space="preserve"> debate en la </w:t>
      </w:r>
      <w:r w:rsidR="00F5468B">
        <w:rPr>
          <w:rFonts w:ascii="Gadugi" w:eastAsia="Century Gothic" w:hAnsi="Gadugi" w:cs="Century Gothic"/>
          <w:color w:val="000000"/>
          <w:sz w:val="22"/>
          <w:szCs w:val="22"/>
        </w:rPr>
        <w:t>Plenaria</w:t>
      </w:r>
      <w:r w:rsidR="003F2C4A" w:rsidRPr="00D2146A">
        <w:rPr>
          <w:rFonts w:ascii="Gadugi" w:eastAsia="Century Gothic" w:hAnsi="Gadugi" w:cs="Century Gothic"/>
          <w:color w:val="000000"/>
          <w:sz w:val="22"/>
          <w:szCs w:val="22"/>
        </w:rPr>
        <w:t xml:space="preserve"> de la Cámara de Representantes del </w:t>
      </w:r>
      <w:r w:rsidR="003F2C4A" w:rsidRPr="008119B3">
        <w:rPr>
          <w:rFonts w:ascii="Gadugi" w:eastAsia="Century Gothic" w:hAnsi="Gadugi" w:cs="Century Gothic"/>
          <w:b/>
          <w:bCs/>
          <w:color w:val="000000"/>
          <w:sz w:val="22"/>
          <w:szCs w:val="22"/>
        </w:rPr>
        <w:t>Proyecto de Ley número 408 de 2024 Cámara</w:t>
      </w:r>
      <w:r w:rsidR="003F2C4A" w:rsidRPr="00D2146A">
        <w:rPr>
          <w:rFonts w:ascii="Gadugi" w:eastAsia="Century Gothic" w:hAnsi="Gadugi" w:cs="Century Gothic"/>
          <w:color w:val="000000"/>
          <w:sz w:val="22"/>
          <w:szCs w:val="22"/>
        </w:rPr>
        <w:t xml:space="preserve"> </w:t>
      </w:r>
      <w:r w:rsidR="00A97D62" w:rsidRPr="00A97D62">
        <w:rPr>
          <w:rFonts w:ascii="Gadugi" w:eastAsia="Century Gothic" w:hAnsi="Gadugi" w:cs="Century Gothic"/>
          <w:b/>
          <w:color w:val="000000"/>
          <w:sz w:val="22"/>
          <w:szCs w:val="22"/>
          <w:lang w:val="es-CO"/>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p>
    <w:p w14:paraId="26C896B8" w14:textId="77777777" w:rsidR="00D2146A" w:rsidRPr="00D2146A" w:rsidRDefault="00D2146A" w:rsidP="004B2688">
      <w:pPr>
        <w:jc w:val="right"/>
        <w:rPr>
          <w:rFonts w:ascii="Gadugi" w:eastAsia="Century Gothic" w:hAnsi="Gadugi" w:cs="Century Gothic"/>
          <w:b/>
          <w:sz w:val="22"/>
          <w:szCs w:val="22"/>
        </w:rPr>
      </w:pPr>
    </w:p>
    <w:p w14:paraId="784ACBCF" w14:textId="77777777" w:rsidR="00552271" w:rsidRPr="00D2146A" w:rsidRDefault="004B2688" w:rsidP="004B2688">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Cordial saludo, </w:t>
      </w:r>
    </w:p>
    <w:p w14:paraId="6879C287" w14:textId="77777777" w:rsidR="00552271" w:rsidRPr="00D2146A" w:rsidRDefault="00552271" w:rsidP="004B2688">
      <w:pPr>
        <w:jc w:val="both"/>
        <w:rPr>
          <w:rFonts w:ascii="Gadugi" w:eastAsia="Century Gothic" w:hAnsi="Gadugi" w:cs="Century Gothic"/>
          <w:sz w:val="22"/>
          <w:szCs w:val="22"/>
        </w:rPr>
      </w:pPr>
    </w:p>
    <w:p w14:paraId="2228987A" w14:textId="4E43909C" w:rsidR="003F2C4A"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me permito rendir Informe de Ponencia para </w:t>
      </w:r>
      <w:r w:rsidR="00F5468B">
        <w:rPr>
          <w:rFonts w:ascii="Gadugi" w:eastAsia="Century Gothic" w:hAnsi="Gadugi" w:cs="Century Gothic"/>
          <w:color w:val="000000"/>
          <w:sz w:val="22"/>
          <w:szCs w:val="22"/>
        </w:rPr>
        <w:t>segundo</w:t>
      </w:r>
      <w:r w:rsidRPr="00D2146A">
        <w:rPr>
          <w:rFonts w:ascii="Gadugi" w:eastAsia="Century Gothic" w:hAnsi="Gadugi" w:cs="Century Gothic"/>
          <w:color w:val="000000"/>
          <w:sz w:val="22"/>
          <w:szCs w:val="22"/>
        </w:rPr>
        <w:t xml:space="preserve"> debate </w:t>
      </w:r>
      <w:r w:rsidR="00E720C9">
        <w:rPr>
          <w:rFonts w:ascii="Gadugi" w:eastAsia="Century Gothic" w:hAnsi="Gadugi" w:cs="Century Gothic"/>
          <w:color w:val="000000"/>
          <w:sz w:val="22"/>
          <w:szCs w:val="22"/>
        </w:rPr>
        <w:t>en la Plenaria de la Cámara de Representantes</w:t>
      </w:r>
      <w:r w:rsidR="00E720C9" w:rsidRPr="00E720C9">
        <w:rPr>
          <w:rFonts w:ascii="Gadugi" w:eastAsia="Century Gothic" w:hAnsi="Gadugi" w:cs="Century Gothic"/>
          <w:color w:val="000000"/>
          <w:sz w:val="22"/>
          <w:szCs w:val="22"/>
        </w:rPr>
        <w:t xml:space="preserve"> </w:t>
      </w:r>
      <w:r w:rsidRPr="00D2146A">
        <w:rPr>
          <w:rFonts w:ascii="Gadugi" w:eastAsia="Century Gothic" w:hAnsi="Gadugi" w:cs="Century Gothic"/>
          <w:color w:val="000000"/>
          <w:sz w:val="22"/>
          <w:szCs w:val="22"/>
        </w:rPr>
        <w:t xml:space="preserve">al Proyecto de Ley número 408 de 2024 Cámara, </w:t>
      </w:r>
      <w:r w:rsidR="00A97D62" w:rsidRPr="00A97D62">
        <w:rPr>
          <w:rFonts w:ascii="Gadugi" w:eastAsia="Century Gothic" w:hAnsi="Gadugi" w:cs="Century Gothic"/>
          <w:b/>
          <w:color w:val="000000"/>
          <w:sz w:val="22"/>
          <w:szCs w:val="22"/>
          <w:lang w:val="es-CO"/>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r w:rsidRPr="00D2146A">
        <w:rPr>
          <w:rFonts w:ascii="Gadugi" w:eastAsia="Century Gothic" w:hAnsi="Gadugi" w:cs="Century Gothic"/>
          <w:color w:val="000000"/>
          <w:sz w:val="22"/>
          <w:szCs w:val="22"/>
        </w:rPr>
        <w:t xml:space="preserve">, de acuerdo con el siguiente contenido: </w:t>
      </w:r>
    </w:p>
    <w:p w14:paraId="0A6E3539" w14:textId="77777777" w:rsidR="003F2C4A"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p>
    <w:p w14:paraId="40FC8853"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Trámite de la iniciativa.</w:t>
      </w:r>
    </w:p>
    <w:p w14:paraId="3306AFF8"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Objeto.</w:t>
      </w:r>
    </w:p>
    <w:p w14:paraId="22999270"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Antecedentes legislativos del proyecto de ley</w:t>
      </w:r>
    </w:p>
    <w:p w14:paraId="7893A841"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Justificación</w:t>
      </w:r>
      <w:r w:rsidRPr="00D2146A">
        <w:rPr>
          <w:rFonts w:ascii="Gadugi" w:eastAsia="Century Gothic" w:hAnsi="Gadugi" w:cs="Century Gothic"/>
          <w:sz w:val="22"/>
          <w:szCs w:val="22"/>
        </w:rPr>
        <w:t xml:space="preserve"> del proyecto de ley</w:t>
      </w:r>
    </w:p>
    <w:p w14:paraId="53AAB016"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Impacto Fiscal.</w:t>
      </w:r>
    </w:p>
    <w:p w14:paraId="56321A2D" w14:textId="77777777" w:rsidR="003F2C4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Conflictos de Interés.</w:t>
      </w:r>
    </w:p>
    <w:p w14:paraId="1B8F02FB" w14:textId="7E010ACE" w:rsidR="0059699A" w:rsidRPr="00D2146A" w:rsidRDefault="0059699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Pr>
          <w:rFonts w:ascii="Gadugi" w:eastAsia="Century Gothic" w:hAnsi="Gadugi" w:cs="Century Gothic"/>
          <w:color w:val="000000"/>
          <w:sz w:val="22"/>
          <w:szCs w:val="22"/>
        </w:rPr>
        <w:t>Pliego de Modificaciones</w:t>
      </w:r>
    </w:p>
    <w:p w14:paraId="5B23168C"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Proposición.</w:t>
      </w:r>
    </w:p>
    <w:p w14:paraId="6C24EFC5" w14:textId="090873DB" w:rsidR="003F2C4A" w:rsidRPr="00D2146A" w:rsidRDefault="003F2C4A" w:rsidP="0073199B">
      <w:pPr>
        <w:numPr>
          <w:ilvl w:val="0"/>
          <w:numId w:val="1"/>
        </w:numPr>
        <w:pBdr>
          <w:top w:val="nil"/>
          <w:left w:val="nil"/>
          <w:bottom w:val="nil"/>
          <w:right w:val="nil"/>
          <w:between w:val="nil"/>
        </w:pBdr>
        <w:shd w:val="clear" w:color="auto" w:fill="FFFFFF"/>
        <w:spacing w:after="160"/>
        <w:ind w:right="115"/>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Texto propuesto para </w:t>
      </w:r>
      <w:r w:rsidR="00F5468B">
        <w:rPr>
          <w:rFonts w:ascii="Gadugi" w:eastAsia="Century Gothic" w:hAnsi="Gadugi" w:cs="Century Gothic"/>
          <w:color w:val="000000"/>
          <w:sz w:val="22"/>
          <w:szCs w:val="22"/>
        </w:rPr>
        <w:t>segundo</w:t>
      </w:r>
      <w:r w:rsidRPr="00D2146A">
        <w:rPr>
          <w:rFonts w:ascii="Gadugi" w:eastAsia="Century Gothic" w:hAnsi="Gadugi" w:cs="Century Gothic"/>
          <w:color w:val="000000"/>
          <w:sz w:val="22"/>
          <w:szCs w:val="22"/>
        </w:rPr>
        <w:t xml:space="preserve"> debate </w:t>
      </w:r>
      <w:r w:rsidR="00E720C9">
        <w:rPr>
          <w:rFonts w:ascii="Gadugi" w:eastAsia="Century Gothic" w:hAnsi="Gadugi" w:cs="Century Gothic"/>
          <w:color w:val="000000"/>
          <w:sz w:val="22"/>
          <w:szCs w:val="22"/>
        </w:rPr>
        <w:t xml:space="preserve">en la Plenaria de la Cámara de Representantes </w:t>
      </w:r>
      <w:r w:rsidRPr="00D2146A">
        <w:rPr>
          <w:rFonts w:ascii="Gadugi" w:eastAsia="Century Gothic" w:hAnsi="Gadugi" w:cs="Century Gothic"/>
          <w:color w:val="000000"/>
          <w:sz w:val="22"/>
          <w:szCs w:val="22"/>
        </w:rPr>
        <w:t xml:space="preserve">al Proyecto de </w:t>
      </w:r>
      <w:r w:rsidR="00A72A7B" w:rsidRPr="00D2146A">
        <w:rPr>
          <w:rFonts w:ascii="Gadugi" w:eastAsia="Calibri" w:hAnsi="Gadugi" w:cs="Calibri"/>
          <w:sz w:val="22"/>
          <w:szCs w:val="22"/>
        </w:rPr>
        <w:t>Ley Número 408 de 2024 Cámara</w:t>
      </w:r>
      <w:r w:rsidR="0059699A">
        <w:rPr>
          <w:rFonts w:ascii="Gadugi" w:eastAsia="Calibri" w:hAnsi="Gadugi" w:cs="Calibri"/>
          <w:sz w:val="22"/>
          <w:szCs w:val="22"/>
        </w:rPr>
        <w:t>.</w:t>
      </w:r>
    </w:p>
    <w:p w14:paraId="600F3C85" w14:textId="77777777" w:rsidR="00552271" w:rsidRPr="00D2146A" w:rsidRDefault="00552271"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p>
    <w:p w14:paraId="4391A025" w14:textId="77777777" w:rsidR="00552271"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Cordialmente, </w:t>
      </w:r>
    </w:p>
    <w:p w14:paraId="44B97F83" w14:textId="77777777" w:rsidR="00552271" w:rsidRPr="00D2146A" w:rsidRDefault="00552271" w:rsidP="004B2688">
      <w:pPr>
        <w:tabs>
          <w:tab w:val="right" w:pos="8838"/>
        </w:tabs>
        <w:jc w:val="center"/>
        <w:rPr>
          <w:rFonts w:ascii="Gadugi" w:eastAsia="Century Gothic" w:hAnsi="Gadugi" w:cs="Century Gothic"/>
          <w:b/>
          <w:sz w:val="22"/>
          <w:szCs w:val="22"/>
        </w:rPr>
      </w:pPr>
    </w:p>
    <w:p w14:paraId="1B5D96CA" w14:textId="77777777" w:rsidR="004B2688" w:rsidRPr="00D2146A" w:rsidRDefault="004B2688" w:rsidP="004B2688">
      <w:pPr>
        <w:tabs>
          <w:tab w:val="right" w:pos="8838"/>
        </w:tabs>
        <w:rPr>
          <w:rFonts w:ascii="Gadugi" w:eastAsia="Century Gothic" w:hAnsi="Gadugi" w:cs="Century Gothic"/>
          <w:b/>
          <w:sz w:val="22"/>
          <w:szCs w:val="22"/>
        </w:rPr>
      </w:pPr>
    </w:p>
    <w:p w14:paraId="706E80D2" w14:textId="77777777" w:rsidR="00A72A7B" w:rsidRPr="00D2146A" w:rsidRDefault="00A72A7B" w:rsidP="004B2688">
      <w:pPr>
        <w:tabs>
          <w:tab w:val="right" w:pos="8838"/>
        </w:tabs>
        <w:rPr>
          <w:rFonts w:ascii="Gadugi" w:eastAsia="Century Gothic" w:hAnsi="Gadugi" w:cs="Century Gothic"/>
          <w:b/>
          <w:sz w:val="22"/>
          <w:szCs w:val="22"/>
        </w:rPr>
      </w:pPr>
    </w:p>
    <w:p w14:paraId="5A50F664" w14:textId="77777777" w:rsidR="00552271" w:rsidRPr="00D2146A" w:rsidRDefault="003F2C4A" w:rsidP="004B2688">
      <w:pPr>
        <w:tabs>
          <w:tab w:val="right" w:pos="8838"/>
        </w:tabs>
        <w:rPr>
          <w:rFonts w:ascii="Gadugi" w:eastAsia="Century Gothic" w:hAnsi="Gadugi" w:cs="Century Gothic"/>
          <w:b/>
          <w:sz w:val="22"/>
          <w:szCs w:val="22"/>
        </w:rPr>
      </w:pPr>
      <w:r w:rsidRPr="00D2146A">
        <w:rPr>
          <w:rFonts w:ascii="Gadugi" w:eastAsia="Century Gothic" w:hAnsi="Gadugi" w:cs="Century Gothic"/>
          <w:b/>
          <w:sz w:val="22"/>
          <w:szCs w:val="22"/>
        </w:rPr>
        <w:t>__________________________________</w:t>
      </w:r>
      <w:r w:rsidR="00776625" w:rsidRPr="00D2146A">
        <w:rPr>
          <w:rFonts w:ascii="Gadugi" w:eastAsia="Century Gothic" w:hAnsi="Gadugi" w:cs="Century Gothic"/>
          <w:b/>
          <w:sz w:val="22"/>
          <w:szCs w:val="22"/>
        </w:rPr>
        <w:t>________________</w:t>
      </w:r>
    </w:p>
    <w:p w14:paraId="6F094F24" w14:textId="77777777" w:rsidR="00552271" w:rsidRPr="00D2146A" w:rsidRDefault="003F2C4A" w:rsidP="004B2688">
      <w:pPr>
        <w:tabs>
          <w:tab w:val="right" w:pos="8838"/>
        </w:tabs>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DELCY ESPERANZA ISAZA BUENAVENTURA</w:t>
      </w:r>
    </w:p>
    <w:p w14:paraId="532DF8BC" w14:textId="77777777" w:rsidR="00552271" w:rsidRPr="00D2146A" w:rsidRDefault="003F2C4A" w:rsidP="004B2688">
      <w:pPr>
        <w:tabs>
          <w:tab w:val="right" w:pos="8838"/>
        </w:tabs>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Representante a la Cámara por el Tolima</w:t>
      </w:r>
      <w:r w:rsidRPr="00D2146A">
        <w:rPr>
          <w:rFonts w:ascii="Gadugi" w:eastAsia="Century Gothic" w:hAnsi="Gadugi" w:cs="Century Gothic"/>
          <w:color w:val="000000"/>
          <w:sz w:val="22"/>
          <w:szCs w:val="22"/>
        </w:rPr>
        <w:br/>
        <w:t>Partido Conservador</w:t>
      </w:r>
    </w:p>
    <w:p w14:paraId="25AC2A6D" w14:textId="77777777" w:rsidR="00552271" w:rsidRPr="00D2146A" w:rsidRDefault="003F2C4A" w:rsidP="004B2688">
      <w:pPr>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Ponente.</w:t>
      </w:r>
    </w:p>
    <w:p w14:paraId="58E4612D" w14:textId="77777777" w:rsidR="00A72A7B" w:rsidRPr="00D2146A" w:rsidRDefault="00A72A7B" w:rsidP="004B2688">
      <w:pPr>
        <w:rPr>
          <w:rFonts w:ascii="Gadugi" w:eastAsia="Century Gothic" w:hAnsi="Gadugi" w:cs="Century Gothic"/>
          <w:color w:val="000000"/>
          <w:sz w:val="22"/>
          <w:szCs w:val="22"/>
        </w:rPr>
      </w:pPr>
    </w:p>
    <w:p w14:paraId="4C70E36C" w14:textId="77777777" w:rsidR="00A72A7B" w:rsidRPr="00D2146A" w:rsidRDefault="00A72A7B" w:rsidP="004B2688">
      <w:pPr>
        <w:rPr>
          <w:rFonts w:ascii="Gadugi" w:eastAsia="Century Gothic" w:hAnsi="Gadugi" w:cs="Century Gothic"/>
          <w:color w:val="000000"/>
          <w:sz w:val="22"/>
          <w:szCs w:val="22"/>
        </w:rPr>
      </w:pPr>
    </w:p>
    <w:p w14:paraId="21D18B8A" w14:textId="77777777" w:rsidR="00A72A7B" w:rsidRPr="00D2146A" w:rsidRDefault="00A72A7B" w:rsidP="004B2688">
      <w:pPr>
        <w:rPr>
          <w:rFonts w:ascii="Gadugi" w:eastAsia="Century Gothic" w:hAnsi="Gadugi" w:cs="Century Gothic"/>
          <w:color w:val="000000"/>
          <w:sz w:val="22"/>
          <w:szCs w:val="22"/>
        </w:rPr>
      </w:pPr>
    </w:p>
    <w:p w14:paraId="1E2D38A5" w14:textId="77777777" w:rsidR="00A97D62" w:rsidRDefault="003F2C4A" w:rsidP="00A97D62">
      <w:pPr>
        <w:pBdr>
          <w:top w:val="nil"/>
          <w:left w:val="nil"/>
          <w:bottom w:val="nil"/>
          <w:right w:val="nil"/>
          <w:between w:val="nil"/>
        </w:pBdr>
        <w:spacing w:line="276" w:lineRule="auto"/>
        <w:jc w:val="center"/>
        <w:rPr>
          <w:rFonts w:ascii="Gadugi" w:eastAsia="Calibri" w:hAnsi="Gadugi" w:cs="Calibri"/>
          <w:b/>
          <w:sz w:val="22"/>
          <w:szCs w:val="22"/>
        </w:rPr>
      </w:pPr>
      <w:r w:rsidRPr="00D2146A">
        <w:rPr>
          <w:rFonts w:ascii="Gadugi" w:eastAsia="Calibri" w:hAnsi="Gadugi" w:cs="Calibri"/>
          <w:b/>
          <w:sz w:val="22"/>
          <w:szCs w:val="22"/>
        </w:rPr>
        <w:t xml:space="preserve">INFORME DE PONENCIA PARA </w:t>
      </w:r>
      <w:r w:rsidR="00F5468B">
        <w:rPr>
          <w:rFonts w:ascii="Gadugi" w:eastAsia="Calibri" w:hAnsi="Gadugi" w:cs="Calibri"/>
          <w:b/>
          <w:sz w:val="22"/>
          <w:szCs w:val="22"/>
        </w:rPr>
        <w:t>SEGUNDO</w:t>
      </w:r>
      <w:r w:rsidRPr="00D2146A">
        <w:rPr>
          <w:rFonts w:ascii="Gadugi" w:eastAsia="Calibri" w:hAnsi="Gadugi" w:cs="Calibri"/>
          <w:b/>
          <w:sz w:val="22"/>
          <w:szCs w:val="22"/>
        </w:rPr>
        <w:t xml:space="preserve"> DEBATE</w:t>
      </w:r>
      <w:r w:rsidR="00E720C9">
        <w:rPr>
          <w:rFonts w:ascii="Gadugi" w:eastAsia="Calibri" w:hAnsi="Gadugi" w:cs="Calibri"/>
          <w:b/>
          <w:sz w:val="22"/>
          <w:szCs w:val="22"/>
        </w:rPr>
        <w:t xml:space="preserve"> </w:t>
      </w:r>
      <w:r w:rsidR="00E720C9" w:rsidRPr="00E720C9">
        <w:rPr>
          <w:rFonts w:ascii="Gadugi" w:eastAsia="Calibri" w:hAnsi="Gadugi" w:cs="Calibri"/>
          <w:b/>
          <w:sz w:val="22"/>
          <w:szCs w:val="22"/>
        </w:rPr>
        <w:t>EN LA PLENARIA DE LA CÁMARA DE REPRESENTANTES</w:t>
      </w:r>
      <w:r w:rsidRPr="00D2146A">
        <w:rPr>
          <w:rFonts w:ascii="Gadugi" w:eastAsia="Calibri" w:hAnsi="Gadugi" w:cs="Calibri"/>
          <w:b/>
          <w:sz w:val="22"/>
          <w:szCs w:val="22"/>
        </w:rPr>
        <w:t xml:space="preserve"> DEL PROYECTO DE LEY NÚMERO 408 DE 2024 CÁMARA</w:t>
      </w:r>
    </w:p>
    <w:p w14:paraId="17988326" w14:textId="607ED1FA" w:rsidR="003F2C4A" w:rsidRDefault="003F2C4A" w:rsidP="00A97D62">
      <w:pPr>
        <w:pBdr>
          <w:top w:val="nil"/>
          <w:left w:val="nil"/>
          <w:bottom w:val="nil"/>
          <w:right w:val="nil"/>
          <w:between w:val="nil"/>
        </w:pBdr>
        <w:spacing w:line="276" w:lineRule="auto"/>
        <w:jc w:val="center"/>
        <w:rPr>
          <w:rFonts w:ascii="Gadugi" w:eastAsia="Century Gothic" w:hAnsi="Gadugi" w:cs="Century Gothic"/>
          <w:b/>
          <w:color w:val="000000"/>
        </w:rPr>
      </w:pPr>
      <w:r w:rsidRPr="00D2146A">
        <w:rPr>
          <w:rFonts w:ascii="Gadugi" w:eastAsia="Calibri" w:hAnsi="Gadugi" w:cs="Calibri"/>
          <w:b/>
          <w:sz w:val="22"/>
          <w:szCs w:val="22"/>
        </w:rPr>
        <w:t xml:space="preserve"> </w:t>
      </w:r>
      <w:r w:rsidR="00A97D62" w:rsidRPr="006102B8">
        <w:rPr>
          <w:rFonts w:ascii="Gadugi" w:eastAsia="Century Gothic" w:hAnsi="Gadugi" w:cs="Century Gothic"/>
          <w:b/>
          <w:color w:val="000000"/>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p>
    <w:p w14:paraId="7C4A5B2D" w14:textId="77777777" w:rsidR="00A97D62" w:rsidRPr="00D2146A" w:rsidRDefault="00A97D62" w:rsidP="00A97D62">
      <w:pPr>
        <w:pBdr>
          <w:top w:val="nil"/>
          <w:left w:val="nil"/>
          <w:bottom w:val="nil"/>
          <w:right w:val="nil"/>
          <w:between w:val="nil"/>
        </w:pBdr>
        <w:spacing w:line="276" w:lineRule="auto"/>
        <w:jc w:val="center"/>
        <w:rPr>
          <w:rFonts w:ascii="Gadugi" w:eastAsia="Century Gothic" w:hAnsi="Gadugi" w:cs="Century Gothic"/>
          <w:color w:val="000000"/>
          <w:sz w:val="22"/>
          <w:szCs w:val="22"/>
        </w:rPr>
      </w:pPr>
    </w:p>
    <w:p w14:paraId="50EBFA68" w14:textId="77777777" w:rsidR="00776625" w:rsidRPr="00D2146A" w:rsidRDefault="003F2C4A" w:rsidP="00776625">
      <w:pPr>
        <w:numPr>
          <w:ilvl w:val="0"/>
          <w:numId w:val="11"/>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b/>
          <w:color w:val="000000"/>
          <w:sz w:val="22"/>
          <w:szCs w:val="22"/>
        </w:rPr>
        <w:t>TRÁMITE DE LA INICIATIVA</w:t>
      </w:r>
      <w:r w:rsidRPr="00D2146A">
        <w:rPr>
          <w:rFonts w:ascii="Gadugi" w:eastAsia="Century Gothic" w:hAnsi="Gadugi" w:cs="Century Gothic"/>
          <w:color w:val="000000"/>
          <w:sz w:val="22"/>
          <w:szCs w:val="22"/>
        </w:rPr>
        <w:t>.</w:t>
      </w:r>
    </w:p>
    <w:p w14:paraId="07F24B11" w14:textId="77777777" w:rsidR="00A72A7B" w:rsidRPr="00D2146A" w:rsidRDefault="00A72A7B" w:rsidP="00A72A7B">
      <w:pPr>
        <w:pBdr>
          <w:top w:val="nil"/>
          <w:left w:val="nil"/>
          <w:bottom w:val="nil"/>
          <w:right w:val="nil"/>
          <w:between w:val="nil"/>
        </w:pBdr>
        <w:spacing w:line="276" w:lineRule="auto"/>
        <w:ind w:left="720"/>
        <w:jc w:val="both"/>
        <w:rPr>
          <w:rFonts w:ascii="Gadugi" w:eastAsia="Century Gothic" w:hAnsi="Gadugi" w:cs="Century Gothic"/>
          <w:color w:val="000000"/>
          <w:sz w:val="22"/>
          <w:szCs w:val="22"/>
        </w:rPr>
      </w:pPr>
    </w:p>
    <w:p w14:paraId="75367223" w14:textId="77777777" w:rsidR="00552271" w:rsidRPr="00D2146A"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El Proyecto de Ley No. 408 de 2024 Cámara fue radicado el 29 de octubre de 2024, siendo sus autores las H.S. Angélica Lisbeth Lozano Correa, H.S. </w:t>
      </w:r>
      <w:proofErr w:type="spellStart"/>
      <w:r w:rsidRPr="00D2146A">
        <w:rPr>
          <w:rFonts w:ascii="Gadugi" w:eastAsia="Century Gothic" w:hAnsi="Gadugi" w:cs="Century Gothic"/>
          <w:color w:val="000000"/>
          <w:sz w:val="22"/>
          <w:szCs w:val="22"/>
        </w:rPr>
        <w:t>Edwing</w:t>
      </w:r>
      <w:proofErr w:type="spellEnd"/>
      <w:r w:rsidRPr="00D2146A">
        <w:rPr>
          <w:rFonts w:ascii="Gadugi" w:eastAsia="Century Gothic" w:hAnsi="Gadugi" w:cs="Century Gothic"/>
          <w:color w:val="000000"/>
          <w:sz w:val="22"/>
          <w:szCs w:val="22"/>
        </w:rPr>
        <w:t xml:space="preserve"> Fabián Díaz Plata, H.R. Carolina Giraldo Botero, H.R. Catherine </w:t>
      </w:r>
      <w:proofErr w:type="spellStart"/>
      <w:r w:rsidRPr="00D2146A">
        <w:rPr>
          <w:rFonts w:ascii="Gadugi" w:eastAsia="Century Gothic" w:hAnsi="Gadugi" w:cs="Century Gothic"/>
          <w:color w:val="000000"/>
          <w:sz w:val="22"/>
          <w:szCs w:val="22"/>
        </w:rPr>
        <w:t>Juvinao</w:t>
      </w:r>
      <w:proofErr w:type="spellEnd"/>
      <w:r w:rsidRPr="00D2146A">
        <w:rPr>
          <w:rFonts w:ascii="Gadugi" w:eastAsia="Century Gothic" w:hAnsi="Gadugi" w:cs="Century Gothic"/>
          <w:color w:val="000000"/>
          <w:sz w:val="22"/>
          <w:szCs w:val="22"/>
        </w:rPr>
        <w:t xml:space="preserve"> Clavijo, H.R. </w:t>
      </w:r>
      <w:proofErr w:type="spellStart"/>
      <w:r w:rsidRPr="00D2146A">
        <w:rPr>
          <w:rFonts w:ascii="Gadugi" w:eastAsia="Century Gothic" w:hAnsi="Gadugi" w:cs="Century Gothic"/>
          <w:color w:val="000000"/>
          <w:sz w:val="22"/>
          <w:szCs w:val="22"/>
        </w:rPr>
        <w:t>Delcy</w:t>
      </w:r>
      <w:proofErr w:type="spellEnd"/>
      <w:r w:rsidRPr="00D2146A">
        <w:rPr>
          <w:rFonts w:ascii="Gadugi" w:eastAsia="Century Gothic" w:hAnsi="Gadugi" w:cs="Century Gothic"/>
          <w:color w:val="000000"/>
          <w:sz w:val="22"/>
          <w:szCs w:val="22"/>
        </w:rPr>
        <w:t xml:space="preserve"> Esperanza Isaza Buenaventura, H.R. William Ferney </w:t>
      </w:r>
      <w:proofErr w:type="spellStart"/>
      <w:r w:rsidRPr="00D2146A">
        <w:rPr>
          <w:rFonts w:ascii="Gadugi" w:eastAsia="Century Gothic" w:hAnsi="Gadugi" w:cs="Century Gothic"/>
          <w:color w:val="000000"/>
          <w:sz w:val="22"/>
          <w:szCs w:val="22"/>
        </w:rPr>
        <w:t>Aljure</w:t>
      </w:r>
      <w:proofErr w:type="spellEnd"/>
      <w:r w:rsidRPr="00D2146A">
        <w:rPr>
          <w:rFonts w:ascii="Gadugi" w:eastAsia="Century Gothic" w:hAnsi="Gadugi" w:cs="Century Gothic"/>
          <w:color w:val="000000"/>
          <w:sz w:val="22"/>
          <w:szCs w:val="22"/>
        </w:rPr>
        <w:t xml:space="preserve"> Martínez, H.R. </w:t>
      </w:r>
      <w:proofErr w:type="spellStart"/>
      <w:r w:rsidRPr="00D2146A">
        <w:rPr>
          <w:rFonts w:ascii="Gadugi" w:eastAsia="Century Gothic" w:hAnsi="Gadugi" w:cs="Century Gothic"/>
          <w:color w:val="000000"/>
          <w:sz w:val="22"/>
          <w:szCs w:val="22"/>
        </w:rPr>
        <w:t>Luvi</w:t>
      </w:r>
      <w:proofErr w:type="spellEnd"/>
      <w:r w:rsidRPr="00D2146A">
        <w:rPr>
          <w:rFonts w:ascii="Gadugi" w:eastAsia="Century Gothic" w:hAnsi="Gadugi" w:cs="Century Gothic"/>
          <w:color w:val="000000"/>
          <w:sz w:val="22"/>
          <w:szCs w:val="22"/>
        </w:rPr>
        <w:t xml:space="preserve"> Katherine Miranda Peña, H.R. Daniel Carvalho Mejía, H.R. Jaime Rodríguez Contreras, H.R. Flora Perdomo Andrade, H.R. Mary </w:t>
      </w:r>
      <w:proofErr w:type="spellStart"/>
      <w:r w:rsidRPr="00D2146A">
        <w:rPr>
          <w:rFonts w:ascii="Gadugi" w:eastAsia="Century Gothic" w:hAnsi="Gadugi" w:cs="Century Gothic"/>
          <w:color w:val="000000"/>
          <w:sz w:val="22"/>
          <w:szCs w:val="22"/>
        </w:rPr>
        <w:t>Anne</w:t>
      </w:r>
      <w:proofErr w:type="spellEnd"/>
      <w:r w:rsidRPr="00D2146A">
        <w:rPr>
          <w:rFonts w:ascii="Gadugi" w:eastAsia="Century Gothic" w:hAnsi="Gadugi" w:cs="Century Gothic"/>
          <w:color w:val="000000"/>
          <w:sz w:val="22"/>
          <w:szCs w:val="22"/>
        </w:rPr>
        <w:t xml:space="preserve"> Andrea Perdomo. </w:t>
      </w:r>
    </w:p>
    <w:p w14:paraId="44C593F0"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6AC93554" w14:textId="77777777" w:rsidR="00552271" w:rsidRPr="00D2146A"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El Proyecto de Ley fue publicado en la Gaceta del Congreso </w:t>
      </w:r>
      <w:r w:rsidRPr="00D2146A">
        <w:rPr>
          <w:rFonts w:ascii="Gadugi" w:eastAsia="Century Gothic" w:hAnsi="Gadugi" w:cs="Century Gothic"/>
          <w:sz w:val="22"/>
          <w:szCs w:val="22"/>
        </w:rPr>
        <w:t xml:space="preserve">1849 </w:t>
      </w:r>
      <w:r w:rsidRPr="00D2146A">
        <w:rPr>
          <w:rFonts w:ascii="Gadugi" w:eastAsia="Century Gothic" w:hAnsi="Gadugi" w:cs="Century Gothic"/>
          <w:color w:val="000000"/>
          <w:sz w:val="22"/>
          <w:szCs w:val="22"/>
        </w:rPr>
        <w:t xml:space="preserve">de </w:t>
      </w:r>
      <w:r w:rsidRPr="00D2146A">
        <w:rPr>
          <w:rFonts w:ascii="Gadugi" w:eastAsia="Century Gothic" w:hAnsi="Gadugi" w:cs="Century Gothic"/>
          <w:sz w:val="22"/>
          <w:szCs w:val="22"/>
        </w:rPr>
        <w:t xml:space="preserve">2024 </w:t>
      </w:r>
      <w:r w:rsidRPr="00D2146A">
        <w:rPr>
          <w:rFonts w:ascii="Gadugi" w:eastAsia="Century Gothic" w:hAnsi="Gadugi" w:cs="Century Gothic"/>
          <w:color w:val="000000"/>
          <w:sz w:val="22"/>
          <w:szCs w:val="22"/>
        </w:rPr>
        <w:t>y fue posteriormente recibido en la Comisión Primera Constitucional Permanente de la Cámara de Representantes.</w:t>
      </w:r>
    </w:p>
    <w:p w14:paraId="440FBADF"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2A80D175" w14:textId="2F5E9D8A" w:rsidR="00552271"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AF77CF">
        <w:rPr>
          <w:rFonts w:ascii="Gadugi" w:eastAsia="Century Gothic" w:hAnsi="Gadugi" w:cs="Century Gothic"/>
          <w:b/>
          <w:bCs/>
          <w:color w:val="000000"/>
          <w:sz w:val="22"/>
          <w:szCs w:val="22"/>
        </w:rPr>
        <w:t xml:space="preserve">El </w:t>
      </w:r>
      <w:r w:rsidRPr="00AF77CF">
        <w:rPr>
          <w:rFonts w:ascii="Gadugi" w:eastAsia="Century Gothic" w:hAnsi="Gadugi" w:cs="Century Gothic"/>
          <w:b/>
          <w:bCs/>
          <w:sz w:val="22"/>
          <w:szCs w:val="22"/>
        </w:rPr>
        <w:t xml:space="preserve">12 </w:t>
      </w:r>
      <w:r w:rsidRPr="00AF77CF">
        <w:rPr>
          <w:rFonts w:ascii="Gadugi" w:eastAsia="Century Gothic" w:hAnsi="Gadugi" w:cs="Century Gothic"/>
          <w:b/>
          <w:bCs/>
          <w:color w:val="000000"/>
          <w:sz w:val="22"/>
          <w:szCs w:val="22"/>
        </w:rPr>
        <w:t xml:space="preserve">de </w:t>
      </w:r>
      <w:r w:rsidRPr="00AF77CF">
        <w:rPr>
          <w:rFonts w:ascii="Gadugi" w:eastAsia="Century Gothic" w:hAnsi="Gadugi" w:cs="Century Gothic"/>
          <w:b/>
          <w:bCs/>
          <w:sz w:val="22"/>
          <w:szCs w:val="22"/>
        </w:rPr>
        <w:t xml:space="preserve">noviembre </w:t>
      </w:r>
      <w:r w:rsidRPr="00AF77CF">
        <w:rPr>
          <w:rFonts w:ascii="Gadugi" w:eastAsia="Century Gothic" w:hAnsi="Gadugi" w:cs="Century Gothic"/>
          <w:b/>
          <w:bCs/>
          <w:color w:val="000000"/>
          <w:sz w:val="22"/>
          <w:szCs w:val="22"/>
        </w:rPr>
        <w:t xml:space="preserve">de </w:t>
      </w:r>
      <w:r w:rsidRPr="00AF77CF">
        <w:rPr>
          <w:rFonts w:ascii="Gadugi" w:eastAsia="Century Gothic" w:hAnsi="Gadugi" w:cs="Century Gothic"/>
          <w:b/>
          <w:bCs/>
          <w:sz w:val="22"/>
          <w:szCs w:val="22"/>
        </w:rPr>
        <w:t>2024</w:t>
      </w:r>
      <w:r w:rsidRPr="00D2146A">
        <w:rPr>
          <w:rFonts w:ascii="Gadugi" w:eastAsia="Century Gothic" w:hAnsi="Gadugi" w:cs="Century Gothic"/>
          <w:color w:val="000000"/>
          <w:sz w:val="22"/>
          <w:szCs w:val="22"/>
        </w:rPr>
        <w:t>, la Mesa Directiva de la Comisión Primera Constitucional Permanente de la Cámara de Representantes me designó como ponente única.</w:t>
      </w:r>
      <w:r w:rsidR="008119B3">
        <w:rPr>
          <w:rFonts w:ascii="Gadugi" w:eastAsia="Century Gothic" w:hAnsi="Gadugi" w:cs="Century Gothic"/>
          <w:color w:val="000000"/>
          <w:sz w:val="22"/>
          <w:szCs w:val="22"/>
        </w:rPr>
        <w:t xml:space="preserve"> </w:t>
      </w:r>
    </w:p>
    <w:p w14:paraId="5BCE7FF6" w14:textId="1C0FEF7D" w:rsidR="008119B3" w:rsidRDefault="008119B3" w:rsidP="00776625">
      <w:pPr>
        <w:pBdr>
          <w:top w:val="nil"/>
          <w:left w:val="nil"/>
          <w:bottom w:val="nil"/>
          <w:right w:val="nil"/>
          <w:between w:val="nil"/>
        </w:pBdr>
        <w:jc w:val="both"/>
        <w:rPr>
          <w:rFonts w:ascii="Gadugi" w:eastAsia="Century Gothic" w:hAnsi="Gadugi" w:cs="Century Gothic"/>
          <w:color w:val="000000"/>
          <w:sz w:val="22"/>
          <w:szCs w:val="22"/>
        </w:rPr>
      </w:pPr>
    </w:p>
    <w:p w14:paraId="05A8B0A9" w14:textId="227D5587" w:rsidR="00E21885" w:rsidRDefault="00F5468B">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AF77CF">
        <w:rPr>
          <w:rFonts w:ascii="Gadugi" w:eastAsia="Century Gothic" w:hAnsi="Gadugi" w:cs="Century Gothic"/>
          <w:b/>
          <w:bCs/>
          <w:color w:val="000000"/>
          <w:sz w:val="22"/>
          <w:szCs w:val="22"/>
        </w:rPr>
        <w:t>El 2 de abril de 2025,</w:t>
      </w:r>
      <w:r w:rsidRPr="00F5468B">
        <w:rPr>
          <w:rFonts w:ascii="Gadugi" w:eastAsia="Century Gothic" w:hAnsi="Gadugi" w:cs="Century Gothic"/>
          <w:color w:val="000000"/>
          <w:sz w:val="22"/>
          <w:szCs w:val="22"/>
        </w:rPr>
        <w:t xml:space="preserve"> la Comisión Primera Constitucional Permanente aprobó en primer debate el </w:t>
      </w:r>
      <w:r>
        <w:rPr>
          <w:rFonts w:ascii="Gadugi" w:eastAsia="Century Gothic" w:hAnsi="Gadugi" w:cs="Century Gothic"/>
          <w:color w:val="000000"/>
          <w:sz w:val="22"/>
          <w:szCs w:val="22"/>
        </w:rPr>
        <w:t>P</w:t>
      </w:r>
      <w:r w:rsidRPr="00F5468B">
        <w:rPr>
          <w:rFonts w:ascii="Gadugi" w:eastAsia="Century Gothic" w:hAnsi="Gadugi" w:cs="Century Gothic"/>
          <w:color w:val="000000"/>
          <w:sz w:val="22"/>
          <w:szCs w:val="22"/>
        </w:rPr>
        <w:t xml:space="preserve">royecto de </w:t>
      </w:r>
      <w:r>
        <w:rPr>
          <w:rFonts w:ascii="Gadugi" w:eastAsia="Century Gothic" w:hAnsi="Gadugi" w:cs="Century Gothic"/>
          <w:color w:val="000000"/>
          <w:sz w:val="22"/>
          <w:szCs w:val="22"/>
        </w:rPr>
        <w:t>L</w:t>
      </w:r>
      <w:r w:rsidRPr="00F5468B">
        <w:rPr>
          <w:rFonts w:ascii="Gadugi" w:eastAsia="Century Gothic" w:hAnsi="Gadugi" w:cs="Century Gothic"/>
          <w:color w:val="000000"/>
          <w:sz w:val="22"/>
          <w:szCs w:val="22"/>
        </w:rPr>
        <w:t xml:space="preserve">ey, </w:t>
      </w:r>
      <w:r w:rsidR="008119B3" w:rsidRPr="008119B3">
        <w:rPr>
          <w:rFonts w:ascii="Gadugi" w:eastAsia="Century Gothic" w:hAnsi="Gadugi" w:cs="Century Gothic"/>
          <w:color w:val="000000"/>
          <w:sz w:val="22"/>
          <w:szCs w:val="22"/>
        </w:rPr>
        <w:t xml:space="preserve">según consta en Acta No. 39 de sesión del 02 de abril de 2025. </w:t>
      </w:r>
      <w:proofErr w:type="spellStart"/>
      <w:r w:rsidR="00E21885">
        <w:rPr>
          <w:rFonts w:ascii="Gadugi" w:eastAsia="Century Gothic" w:hAnsi="Gadugi" w:cs="Century Gothic"/>
          <w:color w:val="000000"/>
          <w:sz w:val="22"/>
          <w:szCs w:val="22"/>
        </w:rPr>
        <w:t>Modificandose</w:t>
      </w:r>
      <w:proofErr w:type="spellEnd"/>
      <w:r w:rsidR="00E21885">
        <w:rPr>
          <w:rFonts w:ascii="Gadugi" w:eastAsia="Century Gothic" w:hAnsi="Gadugi" w:cs="Century Gothic"/>
          <w:color w:val="000000"/>
          <w:sz w:val="22"/>
          <w:szCs w:val="22"/>
        </w:rPr>
        <w:t xml:space="preserve"> los artículos 3. 4 5, 9 y acogiéndose un artículo nuevo. Propuestos por los representantes: Piedad Correal, Catherine </w:t>
      </w:r>
      <w:proofErr w:type="spellStart"/>
      <w:r w:rsidR="00E21885">
        <w:rPr>
          <w:rFonts w:ascii="Gadugi" w:eastAsia="Century Gothic" w:hAnsi="Gadugi" w:cs="Century Gothic"/>
          <w:color w:val="000000"/>
          <w:sz w:val="22"/>
          <w:szCs w:val="22"/>
        </w:rPr>
        <w:t>Juvinao</w:t>
      </w:r>
      <w:proofErr w:type="spellEnd"/>
      <w:r w:rsidR="00E21885">
        <w:rPr>
          <w:rFonts w:ascii="Gadugi" w:eastAsia="Century Gothic" w:hAnsi="Gadugi" w:cs="Century Gothic"/>
          <w:color w:val="000000"/>
          <w:sz w:val="22"/>
          <w:szCs w:val="22"/>
        </w:rPr>
        <w:t xml:space="preserve"> y Carlos Felipe Quintero. </w:t>
      </w:r>
    </w:p>
    <w:p w14:paraId="7A4D531F" w14:textId="77777777" w:rsidR="00E21885" w:rsidRDefault="00E21885">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2AF0442E" w14:textId="6FDF7141" w:rsidR="00552271" w:rsidRDefault="008119B3">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8119B3">
        <w:rPr>
          <w:rFonts w:ascii="Gadugi" w:eastAsia="Century Gothic" w:hAnsi="Gadugi" w:cs="Century Gothic"/>
          <w:color w:val="000000"/>
          <w:sz w:val="22"/>
          <w:szCs w:val="22"/>
        </w:rPr>
        <w:t>Así mismo fue anunciado el día 01 de abril de 2025, según consta en el Acta No. 3</w:t>
      </w:r>
      <w:r w:rsidR="00E21885">
        <w:rPr>
          <w:rFonts w:ascii="Gadugi" w:eastAsia="Century Gothic" w:hAnsi="Gadugi" w:cs="Century Gothic"/>
          <w:color w:val="000000"/>
          <w:sz w:val="22"/>
          <w:szCs w:val="22"/>
        </w:rPr>
        <w:t>8 de sesión de esa misma fecha.</w:t>
      </w:r>
    </w:p>
    <w:p w14:paraId="7AB51FBA" w14:textId="77777777" w:rsidR="00F5468B" w:rsidRPr="00D2146A" w:rsidRDefault="00F5468B">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5E7467E9" w14:textId="77777777" w:rsidR="00776625" w:rsidRPr="00D2146A" w:rsidRDefault="003F2C4A" w:rsidP="00776625">
      <w:pPr>
        <w:numPr>
          <w:ilvl w:val="0"/>
          <w:numId w:val="11"/>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b/>
          <w:color w:val="000000"/>
          <w:sz w:val="22"/>
          <w:szCs w:val="22"/>
        </w:rPr>
        <w:t>OBJETO</w:t>
      </w:r>
      <w:r w:rsidRPr="00D2146A">
        <w:rPr>
          <w:rFonts w:ascii="Gadugi" w:eastAsia="Century Gothic" w:hAnsi="Gadugi" w:cs="Century Gothic"/>
          <w:color w:val="000000"/>
          <w:sz w:val="22"/>
          <w:szCs w:val="22"/>
        </w:rPr>
        <w:t>.</w:t>
      </w:r>
    </w:p>
    <w:p w14:paraId="32C32F43" w14:textId="77777777" w:rsidR="00776625" w:rsidRPr="00D2146A" w:rsidRDefault="00776625" w:rsidP="00776625">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04F8DA1C"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p w14:paraId="59D4238F"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sz w:val="22"/>
          <w:szCs w:val="22"/>
        </w:rPr>
      </w:pPr>
    </w:p>
    <w:p w14:paraId="3A65186A" w14:textId="77777777" w:rsidR="00552271" w:rsidRPr="00D2146A" w:rsidRDefault="003F2C4A">
      <w:pPr>
        <w:numPr>
          <w:ilvl w:val="0"/>
          <w:numId w:val="11"/>
        </w:numPr>
        <w:pBdr>
          <w:top w:val="nil"/>
          <w:left w:val="nil"/>
          <w:bottom w:val="nil"/>
          <w:right w:val="nil"/>
          <w:between w:val="nil"/>
        </w:pBdr>
        <w:spacing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 xml:space="preserve">ANTECEDENTES LEGISLATIVOS DEL PROYECTO DE LEY </w:t>
      </w:r>
    </w:p>
    <w:p w14:paraId="536670D3"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1C033216"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En el Congreso de la República se han presentado múltiples proyectos de ley que abordan la problemática de violencias en contexto familiar, principalmente bajo el enfoque de </w:t>
      </w:r>
      <w:r w:rsidRPr="00D2146A">
        <w:rPr>
          <w:rFonts w:ascii="Gadugi" w:eastAsia="Century Gothic" w:hAnsi="Gadugi" w:cs="Century Gothic"/>
          <w:color w:val="000000"/>
          <w:sz w:val="22"/>
          <w:szCs w:val="22"/>
        </w:rPr>
        <w:lastRenderedPageBreak/>
        <w:t xml:space="preserve">violencia intrafamiliar, y la reparación por daños a personas naturales. Ahora bien, el tema concreto de reparación integral frente a violencia intrafamiliar ha sido abordado en, al menos, tres proyectos de ley: el Proyecto de Ley 025 de 2021C mediante el cual “se crea el proceso monitorio penal como un mecanismo preferente para la atención y reparación integral a casos de violencia intrafamiliar”. Este proyecto de ley fue presentado por </w:t>
      </w:r>
      <w:proofErr w:type="spellStart"/>
      <w:r w:rsidRPr="00D2146A">
        <w:rPr>
          <w:rFonts w:ascii="Gadugi" w:eastAsia="Century Gothic" w:hAnsi="Gadugi" w:cs="Century Gothic"/>
          <w:color w:val="000000"/>
          <w:sz w:val="22"/>
          <w:szCs w:val="22"/>
        </w:rPr>
        <w:t>H.S.Berner</w:t>
      </w:r>
      <w:proofErr w:type="spellEnd"/>
      <w:r w:rsidRPr="00D2146A">
        <w:rPr>
          <w:rFonts w:ascii="Gadugi" w:eastAsia="Century Gothic" w:hAnsi="Gadugi" w:cs="Century Gothic"/>
          <w:color w:val="000000"/>
          <w:sz w:val="22"/>
          <w:szCs w:val="22"/>
        </w:rPr>
        <w:t xml:space="preserve"> león Zambrano Erazo, </w:t>
      </w:r>
      <w:proofErr w:type="spellStart"/>
      <w:r w:rsidRPr="00D2146A">
        <w:rPr>
          <w:rFonts w:ascii="Gadugi" w:eastAsia="Century Gothic" w:hAnsi="Gadugi" w:cs="Century Gothic"/>
          <w:color w:val="000000"/>
          <w:sz w:val="22"/>
          <w:szCs w:val="22"/>
        </w:rPr>
        <w:t>H.S.Carlos</w:t>
      </w:r>
      <w:proofErr w:type="spellEnd"/>
      <w:r w:rsidRPr="00D2146A">
        <w:rPr>
          <w:rFonts w:ascii="Gadugi" w:eastAsia="Century Gothic" w:hAnsi="Gadugi" w:cs="Century Gothic"/>
          <w:color w:val="000000"/>
          <w:sz w:val="22"/>
          <w:szCs w:val="22"/>
        </w:rPr>
        <w:t xml:space="preserve"> Abraham Jiménez, </w:t>
      </w:r>
      <w:proofErr w:type="spellStart"/>
      <w:r w:rsidRPr="00D2146A">
        <w:rPr>
          <w:rFonts w:ascii="Gadugi" w:eastAsia="Century Gothic" w:hAnsi="Gadugi" w:cs="Century Gothic"/>
          <w:color w:val="000000"/>
          <w:sz w:val="22"/>
          <w:szCs w:val="22"/>
        </w:rPr>
        <w:t>H.S.John</w:t>
      </w:r>
      <w:proofErr w:type="spellEnd"/>
      <w:r w:rsidRPr="00D2146A">
        <w:rPr>
          <w:rFonts w:ascii="Gadugi" w:eastAsia="Century Gothic" w:hAnsi="Gadugi" w:cs="Century Gothic"/>
          <w:color w:val="000000"/>
          <w:sz w:val="22"/>
          <w:szCs w:val="22"/>
        </w:rPr>
        <w:t xml:space="preserve"> Harold Suarez Vargas, </w:t>
      </w:r>
      <w:proofErr w:type="spellStart"/>
      <w:r w:rsidRPr="00D2146A">
        <w:rPr>
          <w:rFonts w:ascii="Gadugi" w:eastAsia="Century Gothic" w:hAnsi="Gadugi" w:cs="Century Gothic"/>
          <w:color w:val="000000"/>
          <w:sz w:val="22"/>
          <w:szCs w:val="22"/>
        </w:rPr>
        <w:t>H.S.Jose</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Ritter</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Lopez</w:t>
      </w:r>
      <w:proofErr w:type="spellEnd"/>
      <w:r w:rsidRPr="00D2146A">
        <w:rPr>
          <w:rFonts w:ascii="Gadugi" w:eastAsia="Century Gothic" w:hAnsi="Gadugi" w:cs="Century Gothic"/>
          <w:color w:val="000000"/>
          <w:sz w:val="22"/>
          <w:szCs w:val="22"/>
        </w:rPr>
        <w:t xml:space="preserve"> Peña, </w:t>
      </w:r>
      <w:proofErr w:type="spellStart"/>
      <w:r w:rsidRPr="00D2146A">
        <w:rPr>
          <w:rFonts w:ascii="Gadugi" w:eastAsia="Century Gothic" w:hAnsi="Gadugi" w:cs="Century Gothic"/>
          <w:color w:val="000000"/>
          <w:sz w:val="22"/>
          <w:szCs w:val="22"/>
        </w:rPr>
        <w:t>H.R.Norma</w:t>
      </w:r>
      <w:proofErr w:type="spellEnd"/>
      <w:r w:rsidRPr="00D2146A">
        <w:rPr>
          <w:rFonts w:ascii="Gadugi" w:eastAsia="Century Gothic" w:hAnsi="Gadugi" w:cs="Century Gothic"/>
          <w:color w:val="000000"/>
          <w:sz w:val="22"/>
          <w:szCs w:val="22"/>
        </w:rPr>
        <w:t xml:space="preserve"> Hurtado Sánchez, </w:t>
      </w:r>
      <w:proofErr w:type="spellStart"/>
      <w:r w:rsidRPr="00D2146A">
        <w:rPr>
          <w:rFonts w:ascii="Gadugi" w:eastAsia="Century Gothic" w:hAnsi="Gadugi" w:cs="Century Gothic"/>
          <w:color w:val="000000"/>
          <w:sz w:val="22"/>
          <w:szCs w:val="22"/>
        </w:rPr>
        <w:t>H.R.Teresa</w:t>
      </w:r>
      <w:proofErr w:type="spellEnd"/>
      <w:r w:rsidRPr="00D2146A">
        <w:rPr>
          <w:rFonts w:ascii="Gadugi" w:eastAsia="Century Gothic" w:hAnsi="Gadugi" w:cs="Century Gothic"/>
          <w:color w:val="000000"/>
          <w:sz w:val="22"/>
          <w:szCs w:val="22"/>
        </w:rPr>
        <w:t xml:space="preserve"> De Jesús Enríquez Rosero, </w:t>
      </w:r>
      <w:proofErr w:type="spellStart"/>
      <w:r w:rsidRPr="00D2146A">
        <w:rPr>
          <w:rFonts w:ascii="Gadugi" w:eastAsia="Century Gothic" w:hAnsi="Gadugi" w:cs="Century Gothic"/>
          <w:color w:val="000000"/>
          <w:sz w:val="22"/>
          <w:szCs w:val="22"/>
        </w:rPr>
        <w:t>H.R.Jezmi</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Lizeth</w:t>
      </w:r>
      <w:proofErr w:type="spellEnd"/>
      <w:r w:rsidRPr="00D2146A">
        <w:rPr>
          <w:rFonts w:ascii="Gadugi" w:eastAsia="Century Gothic" w:hAnsi="Gadugi" w:cs="Century Gothic"/>
          <w:color w:val="000000"/>
          <w:sz w:val="22"/>
          <w:szCs w:val="22"/>
        </w:rPr>
        <w:t xml:space="preserve"> Barraza </w:t>
      </w:r>
      <w:proofErr w:type="spellStart"/>
      <w:r w:rsidRPr="00D2146A">
        <w:rPr>
          <w:rFonts w:ascii="Gadugi" w:eastAsia="Century Gothic" w:hAnsi="Gadugi" w:cs="Century Gothic"/>
          <w:color w:val="000000"/>
          <w:sz w:val="22"/>
          <w:szCs w:val="22"/>
        </w:rPr>
        <w:t>Arraut</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H.R.Monica</w:t>
      </w:r>
      <w:proofErr w:type="spellEnd"/>
      <w:r w:rsidRPr="00D2146A">
        <w:rPr>
          <w:rFonts w:ascii="Gadugi" w:eastAsia="Century Gothic" w:hAnsi="Gadugi" w:cs="Century Gothic"/>
          <w:color w:val="000000"/>
          <w:sz w:val="22"/>
          <w:szCs w:val="22"/>
        </w:rPr>
        <w:t xml:space="preserve"> Maria </w:t>
      </w:r>
      <w:proofErr w:type="spellStart"/>
      <w:r w:rsidRPr="00D2146A">
        <w:rPr>
          <w:rFonts w:ascii="Gadugi" w:eastAsia="Century Gothic" w:hAnsi="Gadugi" w:cs="Century Gothic"/>
          <w:color w:val="000000"/>
          <w:sz w:val="22"/>
          <w:szCs w:val="22"/>
        </w:rPr>
        <w:t>Raigoza</w:t>
      </w:r>
      <w:proofErr w:type="spellEnd"/>
      <w:r w:rsidRPr="00D2146A">
        <w:rPr>
          <w:rFonts w:ascii="Gadugi" w:eastAsia="Century Gothic" w:hAnsi="Gadugi" w:cs="Century Gothic"/>
          <w:color w:val="000000"/>
          <w:sz w:val="22"/>
          <w:szCs w:val="22"/>
        </w:rPr>
        <w:t xml:space="preserve"> Morales, </w:t>
      </w:r>
      <w:proofErr w:type="spellStart"/>
      <w:r w:rsidRPr="00D2146A">
        <w:rPr>
          <w:rFonts w:ascii="Gadugi" w:eastAsia="Century Gothic" w:hAnsi="Gadugi" w:cs="Century Gothic"/>
          <w:color w:val="000000"/>
          <w:sz w:val="22"/>
          <w:szCs w:val="22"/>
        </w:rPr>
        <w:t>H.R.Karen</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Violette</w:t>
      </w:r>
      <w:proofErr w:type="spellEnd"/>
      <w:r w:rsidRPr="00D2146A">
        <w:rPr>
          <w:rFonts w:ascii="Gadugi" w:eastAsia="Century Gothic" w:hAnsi="Gadugi" w:cs="Century Gothic"/>
          <w:color w:val="000000"/>
          <w:sz w:val="22"/>
          <w:szCs w:val="22"/>
        </w:rPr>
        <w:t xml:space="preserve"> Cure </w:t>
      </w:r>
      <w:proofErr w:type="spellStart"/>
      <w:r w:rsidRPr="00D2146A">
        <w:rPr>
          <w:rFonts w:ascii="Gadugi" w:eastAsia="Century Gothic" w:hAnsi="Gadugi" w:cs="Century Gothic"/>
          <w:color w:val="000000"/>
          <w:sz w:val="22"/>
          <w:szCs w:val="22"/>
        </w:rPr>
        <w:t>Corcione</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H.R.Monica</w:t>
      </w:r>
      <w:proofErr w:type="spellEnd"/>
      <w:r w:rsidRPr="00D2146A">
        <w:rPr>
          <w:rFonts w:ascii="Gadugi" w:eastAsia="Century Gothic" w:hAnsi="Gadugi" w:cs="Century Gothic"/>
          <w:color w:val="000000"/>
          <w:sz w:val="22"/>
          <w:szCs w:val="22"/>
        </w:rPr>
        <w:t xml:space="preserve"> Liliana Valencia Montaña, </w:t>
      </w:r>
      <w:proofErr w:type="spellStart"/>
      <w:r w:rsidRPr="00D2146A">
        <w:rPr>
          <w:rFonts w:ascii="Gadugi" w:eastAsia="Century Gothic" w:hAnsi="Gadugi" w:cs="Century Gothic"/>
          <w:color w:val="000000"/>
          <w:sz w:val="22"/>
          <w:szCs w:val="22"/>
        </w:rPr>
        <w:t>H.R.Harry</w:t>
      </w:r>
      <w:proofErr w:type="spellEnd"/>
      <w:r w:rsidRPr="00D2146A">
        <w:rPr>
          <w:rFonts w:ascii="Gadugi" w:eastAsia="Century Gothic" w:hAnsi="Gadugi" w:cs="Century Gothic"/>
          <w:color w:val="000000"/>
          <w:sz w:val="22"/>
          <w:szCs w:val="22"/>
        </w:rPr>
        <w:t xml:space="preserve"> Giovanny González García, </w:t>
      </w:r>
      <w:proofErr w:type="spellStart"/>
      <w:r w:rsidRPr="00D2146A">
        <w:rPr>
          <w:rFonts w:ascii="Gadugi" w:eastAsia="Century Gothic" w:hAnsi="Gadugi" w:cs="Century Gothic"/>
          <w:color w:val="000000"/>
          <w:sz w:val="22"/>
          <w:szCs w:val="22"/>
        </w:rPr>
        <w:t>H.R.Oscar</w:t>
      </w:r>
      <w:proofErr w:type="spellEnd"/>
      <w:r w:rsidRPr="00D2146A">
        <w:rPr>
          <w:rFonts w:ascii="Gadugi" w:eastAsia="Century Gothic" w:hAnsi="Gadugi" w:cs="Century Gothic"/>
          <w:color w:val="000000"/>
          <w:sz w:val="22"/>
          <w:szCs w:val="22"/>
        </w:rPr>
        <w:t xml:space="preserve"> Tulio Lizcano </w:t>
      </w:r>
      <w:proofErr w:type="spellStart"/>
      <w:r w:rsidRPr="00D2146A">
        <w:rPr>
          <w:rFonts w:ascii="Gadugi" w:eastAsia="Century Gothic" w:hAnsi="Gadugi" w:cs="Century Gothic"/>
          <w:color w:val="000000"/>
          <w:sz w:val="22"/>
          <w:szCs w:val="22"/>
        </w:rPr>
        <w:t>Gonzalez</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H.R.José</w:t>
      </w:r>
      <w:proofErr w:type="spellEnd"/>
      <w:r w:rsidRPr="00D2146A">
        <w:rPr>
          <w:rFonts w:ascii="Gadugi" w:eastAsia="Century Gothic" w:hAnsi="Gadugi" w:cs="Century Gothic"/>
          <w:color w:val="000000"/>
          <w:sz w:val="22"/>
          <w:szCs w:val="22"/>
        </w:rPr>
        <w:t xml:space="preserve"> Luis Correa López, </w:t>
      </w:r>
      <w:proofErr w:type="spellStart"/>
      <w:r w:rsidRPr="00D2146A">
        <w:rPr>
          <w:rFonts w:ascii="Gadugi" w:eastAsia="Century Gothic" w:hAnsi="Gadugi" w:cs="Century Gothic"/>
          <w:color w:val="000000"/>
          <w:sz w:val="22"/>
          <w:szCs w:val="22"/>
        </w:rPr>
        <w:t>H.R.Alfredo</w:t>
      </w:r>
      <w:proofErr w:type="spellEnd"/>
      <w:r w:rsidRPr="00D2146A">
        <w:rPr>
          <w:rFonts w:ascii="Gadugi" w:eastAsia="Century Gothic" w:hAnsi="Gadugi" w:cs="Century Gothic"/>
          <w:color w:val="000000"/>
          <w:sz w:val="22"/>
          <w:szCs w:val="22"/>
        </w:rPr>
        <w:t xml:space="preserve"> Rafael </w:t>
      </w:r>
      <w:proofErr w:type="spellStart"/>
      <w:r w:rsidRPr="00D2146A">
        <w:rPr>
          <w:rFonts w:ascii="Gadugi" w:eastAsia="Century Gothic" w:hAnsi="Gadugi" w:cs="Century Gothic"/>
          <w:color w:val="000000"/>
          <w:sz w:val="22"/>
          <w:szCs w:val="22"/>
        </w:rPr>
        <w:t>Deluque</w:t>
      </w:r>
      <w:proofErr w:type="spellEnd"/>
      <w:r w:rsidRPr="00D2146A">
        <w:rPr>
          <w:rFonts w:ascii="Gadugi" w:eastAsia="Century Gothic" w:hAnsi="Gadugi" w:cs="Century Gothic"/>
          <w:color w:val="000000"/>
          <w:sz w:val="22"/>
          <w:szCs w:val="22"/>
        </w:rPr>
        <w:t xml:space="preserve"> Zuleta, </w:t>
      </w:r>
      <w:proofErr w:type="spellStart"/>
      <w:r w:rsidRPr="00D2146A">
        <w:rPr>
          <w:rFonts w:ascii="Gadugi" w:eastAsia="Century Gothic" w:hAnsi="Gadugi" w:cs="Century Gothic"/>
          <w:color w:val="000000"/>
          <w:sz w:val="22"/>
          <w:szCs w:val="22"/>
        </w:rPr>
        <w:t>H.R.Margarita</w:t>
      </w:r>
      <w:proofErr w:type="spellEnd"/>
      <w:r w:rsidRPr="00D2146A">
        <w:rPr>
          <w:rFonts w:ascii="Gadugi" w:eastAsia="Century Gothic" w:hAnsi="Gadugi" w:cs="Century Gothic"/>
          <w:color w:val="000000"/>
          <w:sz w:val="22"/>
          <w:szCs w:val="22"/>
        </w:rPr>
        <w:t xml:space="preserve"> María Restrepo Arango, </w:t>
      </w:r>
      <w:proofErr w:type="spellStart"/>
      <w:r w:rsidRPr="00D2146A">
        <w:rPr>
          <w:rFonts w:ascii="Gadugi" w:eastAsia="Century Gothic" w:hAnsi="Gadugi" w:cs="Century Gothic"/>
          <w:color w:val="000000"/>
          <w:sz w:val="22"/>
          <w:szCs w:val="22"/>
        </w:rPr>
        <w:t>H.R.Jairo</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Giovany</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Cristancho</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Tarache</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H.R.Jorge</w:t>
      </w:r>
      <w:proofErr w:type="spellEnd"/>
      <w:r w:rsidRPr="00D2146A">
        <w:rPr>
          <w:rFonts w:ascii="Gadugi" w:eastAsia="Century Gothic" w:hAnsi="Gadugi" w:cs="Century Gothic"/>
          <w:color w:val="000000"/>
          <w:sz w:val="22"/>
          <w:szCs w:val="22"/>
        </w:rPr>
        <w:t xml:space="preserve"> Eliécer Tamayo Marulanda, </w:t>
      </w:r>
      <w:proofErr w:type="spellStart"/>
      <w:r w:rsidRPr="00D2146A">
        <w:rPr>
          <w:rFonts w:ascii="Gadugi" w:eastAsia="Century Gothic" w:hAnsi="Gadugi" w:cs="Century Gothic"/>
          <w:color w:val="000000"/>
          <w:sz w:val="22"/>
          <w:szCs w:val="22"/>
        </w:rPr>
        <w:t>H.R.Milton</w:t>
      </w:r>
      <w:proofErr w:type="spellEnd"/>
      <w:r w:rsidRPr="00D2146A">
        <w:rPr>
          <w:rFonts w:ascii="Gadugi" w:eastAsia="Century Gothic" w:hAnsi="Gadugi" w:cs="Century Gothic"/>
          <w:color w:val="000000"/>
          <w:sz w:val="22"/>
          <w:szCs w:val="22"/>
        </w:rPr>
        <w:t xml:space="preserve"> Hugo Angulo Viveros. Mediante dicho proyecto se buscó adicionar un artículo nuevo al Código de Procedimiento Penal con el fin de agilizar el proceso de atención y reparación a las víctimas de violencia intrafamiliar por medio de un mecanismo preferente. Sin embargo, fue archivado según lo dispuesto en el artículo 162 de la Constitución Política y el artículo 190 Ley 5ta de 1992. </w:t>
      </w:r>
    </w:p>
    <w:p w14:paraId="41A52AE4"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786B4FCE"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En el año 2020, en el Senado se presentó el Proyecto de ley 104 de 2020 “</w:t>
      </w:r>
      <w:r w:rsidRPr="00D2146A">
        <w:rPr>
          <w:rFonts w:ascii="Gadugi" w:eastAsia="Century Gothic" w:hAnsi="Gadugi" w:cs="Century Gothic"/>
          <w:i/>
          <w:color w:val="000000"/>
          <w:sz w:val="22"/>
          <w:szCs w:val="22"/>
        </w:rPr>
        <w:t>Por medio del cual se regula la indemnización de los daños a la persona en los procesos de responsabilidad</w:t>
      </w:r>
      <w:r w:rsidRPr="00D2146A">
        <w:rPr>
          <w:rFonts w:ascii="Gadugi" w:eastAsia="Century Gothic" w:hAnsi="Gadugi" w:cs="Century Gothic"/>
          <w:color w:val="000000"/>
          <w:sz w:val="22"/>
          <w:szCs w:val="22"/>
        </w:rPr>
        <w:t xml:space="preserve">” de autoría del Senador Iván </w:t>
      </w:r>
      <w:proofErr w:type="spellStart"/>
      <w:r w:rsidRPr="00D2146A">
        <w:rPr>
          <w:rFonts w:ascii="Gadugi" w:eastAsia="Century Gothic" w:hAnsi="Gadugi" w:cs="Century Gothic"/>
          <w:color w:val="000000"/>
          <w:sz w:val="22"/>
          <w:szCs w:val="22"/>
        </w:rPr>
        <w:t>Leonidas</w:t>
      </w:r>
      <w:proofErr w:type="spellEnd"/>
      <w:r w:rsidRPr="00D2146A">
        <w:rPr>
          <w:rFonts w:ascii="Gadugi" w:eastAsia="Century Gothic" w:hAnsi="Gadugi" w:cs="Century Gothic"/>
          <w:color w:val="000000"/>
          <w:sz w:val="22"/>
          <w:szCs w:val="22"/>
        </w:rPr>
        <w:t xml:space="preserve"> </w:t>
      </w:r>
      <w:proofErr w:type="spellStart"/>
      <w:r w:rsidRPr="00D2146A">
        <w:rPr>
          <w:rFonts w:ascii="Gadugi" w:eastAsia="Century Gothic" w:hAnsi="Gadugi" w:cs="Century Gothic"/>
          <w:color w:val="000000"/>
          <w:sz w:val="22"/>
          <w:szCs w:val="22"/>
        </w:rPr>
        <w:t>Name</w:t>
      </w:r>
      <w:proofErr w:type="spellEnd"/>
      <w:r w:rsidRPr="00D2146A">
        <w:rPr>
          <w:rFonts w:ascii="Gadugi" w:eastAsia="Century Gothic" w:hAnsi="Gadugi" w:cs="Century Gothic"/>
          <w:color w:val="000000"/>
          <w:sz w:val="22"/>
          <w:szCs w:val="22"/>
        </w:rPr>
        <w:t xml:space="preserve">.  Mediante esta iniciativa se buscó implementar un sistema de reparación integral para las afectaciones patrimoniales y </w:t>
      </w:r>
      <w:proofErr w:type="spellStart"/>
      <w:r w:rsidRPr="00D2146A">
        <w:rPr>
          <w:rFonts w:ascii="Gadugi" w:eastAsia="Century Gothic" w:hAnsi="Gadugi" w:cs="Century Gothic"/>
          <w:color w:val="000000"/>
          <w:sz w:val="22"/>
          <w:szCs w:val="22"/>
        </w:rPr>
        <w:t>extrapatrimoniales</w:t>
      </w:r>
      <w:proofErr w:type="spellEnd"/>
      <w:r w:rsidRPr="00D2146A">
        <w:rPr>
          <w:rFonts w:ascii="Gadugi" w:eastAsia="Century Gothic" w:hAnsi="Gadugi" w:cs="Century Gothic"/>
          <w:color w:val="000000"/>
          <w:sz w:val="22"/>
          <w:szCs w:val="22"/>
        </w:rPr>
        <w:t xml:space="preserve"> sufridas por personas naturales mediante el acceso a medidas de indemnización, compensación, rehabilitación, satisfacción, restitución y a las garantías de no repetición. Sí bien, está iniciativa abordó la temática de reparación integral por daños y perjuicios generados a las personas naturales, no contaba con un enfoque de género ni medidas particulares frente a las dinámicas de violencias en el contexto familiar.     </w:t>
      </w:r>
    </w:p>
    <w:p w14:paraId="47E19004"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335EBECC"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Adicionalmente, para la legislatura 2023-2024 se radicó el Proyecto de ley 316/2023C - 064/2023S de autoría del Senador David Andrés Luna Sánchez y la Representante a la Cámara Katherine Miranda Peña. Este PL tiene como objeto “incorporar a la legislación civil una causal que permita el divorcio por la sola manifestación de la voluntad de cualquiera de los cónyuges”. En su articulado se hace referencia a la reparación integral en procesos de divorcio y su alcance concreto en el marco de este divorcio unilateral.  </w:t>
      </w:r>
    </w:p>
    <w:p w14:paraId="54CA6DAD" w14:textId="77777777" w:rsidR="00D2146A" w:rsidRPr="00D2146A" w:rsidRDefault="00D2146A" w:rsidP="00D2146A">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74DE7051" w14:textId="77777777" w:rsidR="00A72A7B" w:rsidRPr="00D2146A" w:rsidRDefault="003F2C4A" w:rsidP="00D2146A">
      <w:pPr>
        <w:pStyle w:val="Prrafodelista"/>
        <w:numPr>
          <w:ilvl w:val="0"/>
          <w:numId w:val="31"/>
        </w:numPr>
        <w:pBdr>
          <w:top w:val="nil"/>
          <w:left w:val="nil"/>
          <w:bottom w:val="nil"/>
          <w:right w:val="nil"/>
          <w:between w:val="nil"/>
        </w:pBdr>
        <w:jc w:val="both"/>
        <w:rPr>
          <w:rFonts w:ascii="Gadugi" w:eastAsia="Century Gothic" w:hAnsi="Gadugi" w:cs="Century Gothic"/>
          <w:b/>
          <w:color w:val="000000"/>
        </w:rPr>
      </w:pPr>
      <w:r w:rsidRPr="00D2146A">
        <w:rPr>
          <w:rFonts w:ascii="Gadugi" w:eastAsia="Century Gothic" w:hAnsi="Gadugi" w:cs="Century Gothic"/>
          <w:b/>
          <w:color w:val="000000"/>
        </w:rPr>
        <w:t>JUSTIFICACIÓN DEL PROYECTO DE LEY</w:t>
      </w:r>
    </w:p>
    <w:p w14:paraId="1487D7E7" w14:textId="77777777" w:rsidR="00A72A7B" w:rsidRPr="00D2146A" w:rsidRDefault="00A72A7B" w:rsidP="00A72A7B">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3A7271CA" w14:textId="77777777" w:rsidR="00552271" w:rsidRPr="00D2146A" w:rsidRDefault="003F2C4A" w:rsidP="00A72A7B">
      <w:pPr>
        <w:pStyle w:val="Prrafodelista"/>
        <w:numPr>
          <w:ilvl w:val="1"/>
          <w:numId w:val="31"/>
        </w:numPr>
        <w:pBdr>
          <w:top w:val="nil"/>
          <w:left w:val="nil"/>
          <w:bottom w:val="nil"/>
          <w:right w:val="nil"/>
          <w:between w:val="nil"/>
        </w:pBdr>
        <w:jc w:val="both"/>
        <w:rPr>
          <w:rFonts w:ascii="Gadugi" w:eastAsia="Century Gothic" w:hAnsi="Gadugi" w:cs="Century Gothic"/>
          <w:b/>
          <w:color w:val="000000"/>
        </w:rPr>
      </w:pPr>
      <w:r w:rsidRPr="00D2146A">
        <w:rPr>
          <w:rFonts w:ascii="Gadugi" w:eastAsia="Century Gothic" w:hAnsi="Gadugi" w:cs="Century Gothic"/>
          <w:b/>
          <w:color w:val="000000"/>
        </w:rPr>
        <w:t xml:space="preserve">FUNDAMENTOS NORMATIVOS DEL PROYECTO DE LEY: </w:t>
      </w:r>
    </w:p>
    <w:p w14:paraId="5384270D"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Constitución Política de 1991:</w:t>
      </w:r>
    </w:p>
    <w:p w14:paraId="0FDB014E" w14:textId="77777777" w:rsidR="00776625" w:rsidRPr="00D2146A" w:rsidRDefault="00776625" w:rsidP="00776625">
      <w:pPr>
        <w:spacing w:after="160" w:line="259" w:lineRule="auto"/>
        <w:jc w:val="both"/>
        <w:rPr>
          <w:rFonts w:ascii="Gadugi" w:eastAsia="Century Gothic" w:hAnsi="Gadugi" w:cs="Century Gothic"/>
          <w:sz w:val="22"/>
          <w:szCs w:val="22"/>
        </w:rPr>
      </w:pPr>
    </w:p>
    <w:p w14:paraId="5FCDD02C" w14:textId="77777777" w:rsidR="00552271" w:rsidRPr="00D2146A" w:rsidRDefault="003F2C4A" w:rsidP="00776625">
      <w:p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El artículo 42 de la Constitución Política establece:</w:t>
      </w:r>
    </w:p>
    <w:p w14:paraId="4360B961" w14:textId="1C6442F9" w:rsidR="00552271" w:rsidRPr="00D2146A" w:rsidRDefault="003F2C4A" w:rsidP="00C14DAE">
      <w:pPr>
        <w:ind w:left="566" w:right="618"/>
        <w:jc w:val="both"/>
        <w:rPr>
          <w:rFonts w:ascii="Gadugi" w:eastAsia="Century Gothic" w:hAnsi="Gadugi" w:cs="Century Gothic"/>
          <w:i/>
          <w:sz w:val="22"/>
          <w:szCs w:val="22"/>
        </w:rPr>
      </w:pPr>
      <w:r w:rsidRPr="00D2146A">
        <w:rPr>
          <w:rFonts w:ascii="Gadugi" w:eastAsia="Century Gothic" w:hAnsi="Gadugi" w:cs="Century Gothic"/>
          <w:i/>
          <w:sz w:val="22"/>
          <w:szCs w:val="22"/>
        </w:rPr>
        <w:t>“La familia es el núcleo fundamental de la sociedad. Se constituye por vínculos naturales o jurídicos, por la decisión libre de un hombre y una mujer de contraer matrimonio o por la voluntad responsable de conformarla.</w:t>
      </w:r>
      <w:r w:rsidR="00C14DAE">
        <w:rPr>
          <w:rFonts w:ascii="Gadugi" w:eastAsia="Century Gothic" w:hAnsi="Gadugi" w:cs="Century Gothic"/>
          <w:i/>
          <w:sz w:val="22"/>
          <w:szCs w:val="22"/>
        </w:rPr>
        <w:t xml:space="preserve">  </w:t>
      </w:r>
      <w:r w:rsidRPr="00D2146A">
        <w:rPr>
          <w:rFonts w:ascii="Gadugi" w:eastAsia="Century Gothic" w:hAnsi="Gadugi" w:cs="Century Gothic"/>
          <w:i/>
          <w:sz w:val="22"/>
          <w:szCs w:val="22"/>
        </w:rPr>
        <w:t>El Estado y la sociedad garantizan la protección integral de la familia. La ley</w:t>
      </w:r>
      <w:r w:rsidR="00C14DAE">
        <w:rPr>
          <w:rFonts w:ascii="Gadugi" w:eastAsia="Century Gothic" w:hAnsi="Gadugi" w:cs="Century Gothic"/>
          <w:i/>
          <w:sz w:val="22"/>
          <w:szCs w:val="22"/>
        </w:rPr>
        <w:t xml:space="preserve"> </w:t>
      </w:r>
      <w:r w:rsidRPr="00D2146A">
        <w:rPr>
          <w:rFonts w:ascii="Gadugi" w:eastAsia="Century Gothic" w:hAnsi="Gadugi" w:cs="Century Gothic"/>
          <w:i/>
          <w:sz w:val="22"/>
          <w:szCs w:val="22"/>
        </w:rPr>
        <w:t xml:space="preserve">podrá determinar </w:t>
      </w:r>
      <w:r w:rsidRPr="00D2146A">
        <w:rPr>
          <w:rFonts w:ascii="Gadugi" w:eastAsia="Century Gothic" w:hAnsi="Gadugi" w:cs="Century Gothic"/>
          <w:i/>
          <w:sz w:val="22"/>
          <w:szCs w:val="22"/>
        </w:rPr>
        <w:lastRenderedPageBreak/>
        <w:t>el patrimonio familiar inalienable e inembargable.</w:t>
      </w:r>
      <w:r w:rsidR="00C14DAE">
        <w:rPr>
          <w:rFonts w:ascii="Gadugi" w:eastAsia="Century Gothic" w:hAnsi="Gadugi" w:cs="Century Gothic"/>
          <w:i/>
          <w:sz w:val="22"/>
          <w:szCs w:val="22"/>
        </w:rPr>
        <w:t xml:space="preserve"> </w:t>
      </w:r>
      <w:r w:rsidRPr="00D2146A">
        <w:rPr>
          <w:rFonts w:ascii="Gadugi" w:eastAsia="Century Gothic" w:hAnsi="Gadugi" w:cs="Century Gothic"/>
          <w:i/>
          <w:sz w:val="22"/>
          <w:szCs w:val="22"/>
        </w:rPr>
        <w:t>La honra, la dignidad y la intimidad de la familia son inviolables.</w:t>
      </w:r>
    </w:p>
    <w:p w14:paraId="5C409D2B" w14:textId="78D78D9E" w:rsidR="00552271" w:rsidRPr="00D2146A" w:rsidRDefault="003F2C4A" w:rsidP="00C14DAE">
      <w:pPr>
        <w:ind w:left="567" w:right="618" w:hanging="1"/>
        <w:jc w:val="both"/>
        <w:rPr>
          <w:rFonts w:ascii="Gadugi" w:eastAsia="Century Gothic" w:hAnsi="Gadugi" w:cs="Century Gothic"/>
          <w:i/>
          <w:sz w:val="22"/>
          <w:szCs w:val="22"/>
          <w:u w:val="single"/>
        </w:rPr>
      </w:pPr>
      <w:r w:rsidRPr="00D2146A">
        <w:rPr>
          <w:rFonts w:ascii="Gadugi" w:eastAsia="Century Gothic" w:hAnsi="Gadugi" w:cs="Century Gothic"/>
          <w:i/>
          <w:sz w:val="22"/>
          <w:szCs w:val="22"/>
          <w:u w:val="single"/>
        </w:rPr>
        <w:t>Las relaciones familiares se basan en la igualdad de derechos y deberes de la pareja y en el respeto recíproco entre todos sus integrantes.</w:t>
      </w:r>
      <w:r w:rsidR="00C14DAE">
        <w:rPr>
          <w:rFonts w:ascii="Gadugi" w:eastAsia="Century Gothic" w:hAnsi="Gadugi" w:cs="Century Gothic"/>
          <w:i/>
          <w:sz w:val="22"/>
          <w:szCs w:val="22"/>
          <w:u w:val="single"/>
        </w:rPr>
        <w:t xml:space="preserve"> </w:t>
      </w:r>
      <w:r w:rsidRPr="00D2146A">
        <w:rPr>
          <w:rFonts w:ascii="Gadugi" w:eastAsia="Century Gothic" w:hAnsi="Gadugi" w:cs="Century Gothic"/>
          <w:i/>
          <w:sz w:val="22"/>
          <w:szCs w:val="22"/>
          <w:u w:val="single"/>
        </w:rPr>
        <w:t>Cualquier forma de violencia en la familia se considera destructiva de su armonía y unidad, y será sancionada conforme a la ley.”</w:t>
      </w:r>
    </w:p>
    <w:p w14:paraId="35DA5CB4" w14:textId="77777777" w:rsidR="00552271" w:rsidRPr="00D2146A" w:rsidRDefault="00552271" w:rsidP="008119B3">
      <w:pPr>
        <w:ind w:left="708"/>
        <w:jc w:val="both"/>
        <w:rPr>
          <w:rFonts w:ascii="Gadugi" w:eastAsia="Century Gothic" w:hAnsi="Gadugi" w:cs="Century Gothic"/>
          <w:i/>
          <w:sz w:val="22"/>
          <w:szCs w:val="22"/>
          <w:u w:val="single"/>
        </w:rPr>
      </w:pPr>
    </w:p>
    <w:p w14:paraId="15233651"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Sobre esta disposición, en la sentencia T-292 de 2012, Corte Constitucional estableció que:</w:t>
      </w:r>
    </w:p>
    <w:p w14:paraId="02E77B80" w14:textId="77777777" w:rsidR="00776625" w:rsidRPr="00D2146A" w:rsidRDefault="00776625">
      <w:pPr>
        <w:jc w:val="both"/>
        <w:rPr>
          <w:rFonts w:ascii="Gadugi" w:eastAsia="Century Gothic" w:hAnsi="Gadugi" w:cs="Century Gothic"/>
          <w:sz w:val="22"/>
          <w:szCs w:val="22"/>
        </w:rPr>
      </w:pPr>
    </w:p>
    <w:p w14:paraId="05798837" w14:textId="77777777" w:rsidR="00552271" w:rsidRPr="00D2146A" w:rsidRDefault="003F2C4A" w:rsidP="00776625">
      <w:pPr>
        <w:ind w:left="567" w:right="760"/>
        <w:jc w:val="both"/>
        <w:rPr>
          <w:rFonts w:ascii="Gadugi" w:eastAsia="Century Gothic" w:hAnsi="Gadugi" w:cs="Century Gothic"/>
          <w:i/>
          <w:sz w:val="22"/>
          <w:szCs w:val="22"/>
        </w:rPr>
      </w:pPr>
      <w:r w:rsidRPr="00D2146A">
        <w:rPr>
          <w:rFonts w:ascii="Gadugi" w:eastAsia="Century Gothic" w:hAnsi="Gadugi" w:cs="Century Gothic"/>
          <w:i/>
          <w:sz w:val="22"/>
          <w:szCs w:val="22"/>
        </w:rPr>
        <w:t xml:space="preserve">“La familia es una institución sociológica derivada de la naturaleza del ser humano, “toda la comunidad se beneficia de sus </w:t>
      </w:r>
      <w:proofErr w:type="gramStart"/>
      <w:r w:rsidRPr="00D2146A">
        <w:rPr>
          <w:rFonts w:ascii="Gadugi" w:eastAsia="Century Gothic" w:hAnsi="Gadugi" w:cs="Century Gothic"/>
          <w:i/>
          <w:sz w:val="22"/>
          <w:szCs w:val="22"/>
        </w:rPr>
        <w:t>virtudes</w:t>
      </w:r>
      <w:proofErr w:type="gramEnd"/>
      <w:r w:rsidRPr="00D2146A">
        <w:rPr>
          <w:rFonts w:ascii="Gadugi" w:eastAsia="Century Gothic" w:hAnsi="Gadugi" w:cs="Century Gothic"/>
          <w:i/>
          <w:sz w:val="22"/>
          <w:szCs w:val="22"/>
        </w:rPr>
        <w:t xml:space="preserve"> así como se perjudica por los conflictos que surjan de la misma”. Entre sus fines esenciales se destacan la vida en común, la ayuda mutua, la procreación, el sostenimiento y la educación de los hijos. En consecuencia, tanto el Estado como la sociedad deben propender a su bienestar y velar por su integridad, supervivencia y conservación. Lineamientos que permearon su reconocimiento político y jurídico en la Constitución de 1991. El constituyente reguló la institución familiar como derecho y núcleo esencial de la sociedad en el artículo 42 Superior. </w:t>
      </w:r>
    </w:p>
    <w:p w14:paraId="226B47A1" w14:textId="77777777" w:rsidR="00552271" w:rsidRPr="00D2146A" w:rsidRDefault="003F2C4A" w:rsidP="00776625">
      <w:pPr>
        <w:ind w:left="567" w:right="760"/>
        <w:jc w:val="both"/>
        <w:rPr>
          <w:rFonts w:ascii="Gadugi" w:eastAsia="Century Gothic" w:hAnsi="Gadugi" w:cs="Century Gothic"/>
          <w:i/>
          <w:sz w:val="22"/>
          <w:szCs w:val="22"/>
        </w:rPr>
      </w:pPr>
      <w:r w:rsidRPr="00D2146A">
        <w:rPr>
          <w:rFonts w:ascii="Gadugi" w:eastAsia="Century Gothic" w:hAnsi="Gadugi" w:cs="Century Gothic"/>
          <w:i/>
          <w:sz w:val="22"/>
          <w:szCs w:val="22"/>
        </w:rPr>
        <w:t>Ahora, si bien a la familia se le debe brindar protección en igualdad de condiciones, indistintamente de los miembros que la conformen, lo cierto es que cuando está integrada por niños, niñas o adolescentes su protección debe ser reforzada. Se resalta que para este sector poblacional el derecho a tener una familia, en virtud del artículo 44 Superior, es de carácter fundamental, pues se erige como la cuna de formación del ser humano, donde se le debe proporcionar la asistencia, protección, cuidado y preparación necesarios para forjarse como seres integrales aptos para desenvolverse en sociedad.”</w:t>
      </w:r>
    </w:p>
    <w:p w14:paraId="08A7A4F4" w14:textId="77777777" w:rsidR="00552271" w:rsidRPr="00D2146A" w:rsidRDefault="00552271">
      <w:pPr>
        <w:ind w:left="708"/>
        <w:jc w:val="both"/>
        <w:rPr>
          <w:rFonts w:ascii="Gadugi" w:eastAsia="Century Gothic" w:hAnsi="Gadugi" w:cs="Century Gothic"/>
          <w:sz w:val="22"/>
          <w:szCs w:val="22"/>
        </w:rPr>
      </w:pPr>
    </w:p>
    <w:p w14:paraId="226FD515"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Bloque de Constitucionalidad: </w:t>
      </w:r>
    </w:p>
    <w:p w14:paraId="374E5DCF" w14:textId="77777777" w:rsidR="00552271" w:rsidRPr="00D2146A" w:rsidRDefault="00552271">
      <w:pPr>
        <w:spacing w:line="259" w:lineRule="auto"/>
        <w:ind w:left="720"/>
        <w:jc w:val="both"/>
        <w:rPr>
          <w:rFonts w:ascii="Gadugi" w:eastAsia="Century Gothic" w:hAnsi="Gadugi" w:cs="Century Gothic"/>
          <w:b/>
          <w:sz w:val="22"/>
          <w:szCs w:val="22"/>
        </w:rPr>
      </w:pPr>
    </w:p>
    <w:p w14:paraId="5471A1DB" w14:textId="77777777" w:rsidR="00552271" w:rsidRPr="00D2146A" w:rsidRDefault="003F2C4A">
      <w:pPr>
        <w:numPr>
          <w:ilvl w:val="0"/>
          <w:numId w:val="21"/>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Declaración Universal de los Derechos Humanos: </w:t>
      </w:r>
    </w:p>
    <w:p w14:paraId="265B340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artículo 8 establece que: “Toda persona tiene derecho a un recurso efectivo ante los tribunales nacionales competentes, que la ampare contra actos que violen sus derechos fundamentales reconocidos por la constitución o por la ley”.</w:t>
      </w:r>
    </w:p>
    <w:p w14:paraId="13E72EAF" w14:textId="77777777" w:rsidR="00552271" w:rsidRPr="00D2146A" w:rsidRDefault="00552271">
      <w:pPr>
        <w:jc w:val="both"/>
        <w:rPr>
          <w:rFonts w:ascii="Gadugi" w:eastAsia="Century Gothic" w:hAnsi="Gadugi" w:cs="Century Gothic"/>
          <w:sz w:val="22"/>
          <w:szCs w:val="22"/>
        </w:rPr>
      </w:pPr>
    </w:p>
    <w:p w14:paraId="26F6B004" w14:textId="77777777" w:rsidR="00552271" w:rsidRPr="00D2146A" w:rsidRDefault="003F2C4A">
      <w:pPr>
        <w:numPr>
          <w:ilvl w:val="0"/>
          <w:numId w:val="15"/>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Convención Interamericana para prevenir, sancionar y erradicar la violencia contra la mujer “Convención de Belém do Pará”: </w:t>
      </w:r>
    </w:p>
    <w:p w14:paraId="60CB4505" w14:textId="7777777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En el artículo 7 se establecen las obligaciones de los Estados, y uno de ellos es el g) que dispone: </w:t>
      </w:r>
      <w:r w:rsidRPr="00D2146A">
        <w:rPr>
          <w:rFonts w:ascii="Gadugi" w:eastAsia="Century Gothic" w:hAnsi="Gadugi" w:cs="Century Gothic"/>
          <w:i/>
          <w:sz w:val="22"/>
          <w:szCs w:val="22"/>
        </w:rPr>
        <w:t>“</w:t>
      </w:r>
      <w:r w:rsidRPr="00D2146A">
        <w:rPr>
          <w:rFonts w:ascii="Gadugi" w:eastAsia="Century Gothic" w:hAnsi="Gadugi" w:cs="Century Gothic"/>
          <w:i/>
          <w:sz w:val="22"/>
          <w:szCs w:val="22"/>
          <w:u w:val="single"/>
        </w:rPr>
        <w:t xml:space="preserve">establecer los mecanismos judiciales y administrativos necesarios para asegurar que la mujer objeto de violencia tenga acceso efectivo a resarcimiento, reparación del daño u otros medios de compensación justos y eficaces”. </w:t>
      </w:r>
    </w:p>
    <w:p w14:paraId="7123BA2A" w14:textId="77777777" w:rsidR="00552271" w:rsidRPr="00D2146A" w:rsidRDefault="00552271">
      <w:pPr>
        <w:jc w:val="both"/>
        <w:rPr>
          <w:rFonts w:ascii="Gadugi" w:eastAsia="Century Gothic" w:hAnsi="Gadugi" w:cs="Century Gothic"/>
          <w:i/>
          <w:sz w:val="22"/>
          <w:szCs w:val="22"/>
          <w:u w:val="single"/>
        </w:rPr>
      </w:pPr>
    </w:p>
    <w:p w14:paraId="02A9C5F0" w14:textId="76DD3C9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En el artículo 8 se establece que los </w:t>
      </w:r>
      <w:r w:rsidR="00207D91" w:rsidRPr="00D2146A">
        <w:rPr>
          <w:rFonts w:ascii="Gadugi" w:eastAsia="Century Gothic" w:hAnsi="Gadugi" w:cs="Century Gothic"/>
          <w:sz w:val="22"/>
          <w:szCs w:val="22"/>
        </w:rPr>
        <w:t>Estados Parte</w:t>
      </w:r>
      <w:r w:rsidRPr="00D2146A">
        <w:rPr>
          <w:rFonts w:ascii="Gadugi" w:eastAsia="Century Gothic" w:hAnsi="Gadugi" w:cs="Century Gothic"/>
          <w:sz w:val="22"/>
          <w:szCs w:val="22"/>
        </w:rPr>
        <w:t xml:space="preserve"> deben adoptar, fomentar y apoyar </w:t>
      </w:r>
      <w:r w:rsidRPr="00D2146A">
        <w:rPr>
          <w:rFonts w:ascii="Gadugi" w:eastAsia="Century Gothic" w:hAnsi="Gadugi" w:cs="Century Gothic"/>
          <w:i/>
          <w:sz w:val="22"/>
          <w:szCs w:val="22"/>
        </w:rPr>
        <w:t xml:space="preserve">“programas de educación gubernamentales y del sector privado destinados a concientizar al público sobre los problemas relacionados con la violencia contra la mujer, </w:t>
      </w:r>
      <w:r w:rsidRPr="00D2146A">
        <w:rPr>
          <w:rFonts w:ascii="Gadugi" w:eastAsia="Century Gothic" w:hAnsi="Gadugi" w:cs="Century Gothic"/>
          <w:i/>
          <w:sz w:val="22"/>
          <w:szCs w:val="22"/>
          <w:u w:val="single"/>
        </w:rPr>
        <w:t>los recursos legales y la reparación que corresponda”.</w:t>
      </w:r>
    </w:p>
    <w:p w14:paraId="461B3239" w14:textId="77777777" w:rsidR="00552271" w:rsidRPr="00D2146A" w:rsidRDefault="00552271">
      <w:pPr>
        <w:jc w:val="both"/>
        <w:rPr>
          <w:rFonts w:ascii="Gadugi" w:eastAsia="Century Gothic" w:hAnsi="Gadugi" w:cs="Century Gothic"/>
          <w:i/>
          <w:sz w:val="22"/>
          <w:szCs w:val="22"/>
          <w:u w:val="single"/>
        </w:rPr>
      </w:pPr>
    </w:p>
    <w:p w14:paraId="1C628ABB" w14:textId="77777777" w:rsidR="00552271" w:rsidRPr="00D2146A" w:rsidRDefault="003F2C4A">
      <w:pPr>
        <w:numPr>
          <w:ilvl w:val="0"/>
          <w:numId w:val="18"/>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Declaración sobre la Eliminación de la Violencia contra la Mujer:</w:t>
      </w:r>
    </w:p>
    <w:p w14:paraId="0B70E022" w14:textId="77777777" w:rsidR="00552271" w:rsidRPr="00D2146A" w:rsidRDefault="003F2C4A">
      <w:pPr>
        <w:jc w:val="both"/>
        <w:rPr>
          <w:rFonts w:ascii="Gadugi" w:eastAsia="Century Gothic" w:hAnsi="Gadugi" w:cs="Century Gothic"/>
          <w:i/>
          <w:sz w:val="22"/>
          <w:szCs w:val="22"/>
        </w:rPr>
      </w:pPr>
      <w:r w:rsidRPr="00D2146A">
        <w:rPr>
          <w:rFonts w:ascii="Gadugi" w:eastAsia="Century Gothic" w:hAnsi="Gadugi" w:cs="Century Gothic"/>
          <w:sz w:val="22"/>
          <w:szCs w:val="22"/>
        </w:rPr>
        <w:t xml:space="preserve">El artículo 4 dispone que los Estados deben condenar la violencia contra la mujer y no invocar ninguna costumbre, tradición o consideración religiosa para eludir su obligación de procurar eliminarla. Los Estados deben aplicar por todos los medios apropiados y sin demora una política encaminada a eliminar la violencia contra la mujer. Por ello, deben: </w:t>
      </w:r>
      <w:r w:rsidRPr="00D2146A">
        <w:rPr>
          <w:rFonts w:ascii="Gadugi" w:eastAsia="Century Gothic" w:hAnsi="Gadugi" w:cs="Century Gothic"/>
          <w:i/>
          <w:sz w:val="22"/>
          <w:szCs w:val="22"/>
        </w:rPr>
        <w:t xml:space="preserve">“d) Establecer, en la legislación nacional, sanciones penales, civiles, laborales y administrativas, para castigar y reparar los agravios infligidos a las mujeres que sean objeto de violencia; debe darse a éstas acceso a los mecanismos de la justicia y, con arreglo a lo dispuesto en la legislación nacional, </w:t>
      </w:r>
      <w:r w:rsidRPr="00D2146A">
        <w:rPr>
          <w:rFonts w:ascii="Gadugi" w:eastAsia="Century Gothic" w:hAnsi="Gadugi" w:cs="Century Gothic"/>
          <w:i/>
          <w:sz w:val="22"/>
          <w:szCs w:val="22"/>
          <w:u w:val="single"/>
        </w:rPr>
        <w:t>a un resarcimiento justo y eficaz por el daño que hayan padecido; los Estados deben además informar a las mujeres de sus derechos a pedir reparación por medio de esos mecanismos”</w:t>
      </w:r>
      <w:r w:rsidRPr="00D2146A">
        <w:rPr>
          <w:rFonts w:ascii="Gadugi" w:eastAsia="Century Gothic" w:hAnsi="Gadugi" w:cs="Century Gothic"/>
          <w:i/>
          <w:sz w:val="22"/>
          <w:szCs w:val="22"/>
        </w:rPr>
        <w:t>.</w:t>
      </w:r>
    </w:p>
    <w:p w14:paraId="045334AC" w14:textId="77777777" w:rsidR="00776625" w:rsidRPr="00D2146A" w:rsidRDefault="00776625">
      <w:pPr>
        <w:jc w:val="both"/>
        <w:rPr>
          <w:rFonts w:ascii="Gadugi" w:eastAsia="Century Gothic" w:hAnsi="Gadugi" w:cs="Century Gothic"/>
          <w:i/>
          <w:sz w:val="22"/>
          <w:szCs w:val="22"/>
        </w:rPr>
      </w:pPr>
    </w:p>
    <w:p w14:paraId="0718666E"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Normatividad relevante: </w:t>
      </w:r>
    </w:p>
    <w:p w14:paraId="4E1E496D" w14:textId="77777777" w:rsidR="00552271" w:rsidRPr="00D2146A" w:rsidRDefault="003F2C4A">
      <w:pPr>
        <w:numPr>
          <w:ilvl w:val="0"/>
          <w:numId w:val="7"/>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Código Civil: </w:t>
      </w:r>
    </w:p>
    <w:p w14:paraId="7AF3AEAA" w14:textId="7777777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El artículo 1494 que establece las fuentes de las obligaciones las siguientes: </w:t>
      </w:r>
      <w:r w:rsidRPr="00D2146A">
        <w:rPr>
          <w:rFonts w:ascii="Gadugi" w:eastAsia="Century Gothic" w:hAnsi="Gadugi" w:cs="Century Gothic"/>
          <w:i/>
          <w:sz w:val="22"/>
          <w:szCs w:val="22"/>
        </w:rPr>
        <w:t xml:space="preserve">“Las obligaciones nacen, ya del concurso real de las voluntades de dos o más personas, como en los contratos o convenciones; ya de un hecho voluntario de la persona que se obliga, como en la aceptación de una herencia o legado y en todos los cuasicontratos; </w:t>
      </w:r>
      <w:r w:rsidRPr="00D2146A">
        <w:rPr>
          <w:rFonts w:ascii="Gadugi" w:eastAsia="Century Gothic" w:hAnsi="Gadugi" w:cs="Century Gothic"/>
          <w:i/>
          <w:sz w:val="22"/>
          <w:szCs w:val="22"/>
          <w:u w:val="single"/>
        </w:rPr>
        <w:t>ya a consecuencia de un hecho que ha inferido injuria o daño a otra persona, como en los delitos; ya por disposición de la ley, como entre los padres y los hijos de familia.”</w:t>
      </w:r>
    </w:p>
    <w:p w14:paraId="7180A851" w14:textId="77777777" w:rsidR="00552271" w:rsidRPr="00D2146A" w:rsidRDefault="00552271">
      <w:pPr>
        <w:jc w:val="both"/>
        <w:rPr>
          <w:rFonts w:ascii="Gadugi" w:eastAsia="Century Gothic" w:hAnsi="Gadugi" w:cs="Century Gothic"/>
          <w:i/>
          <w:sz w:val="22"/>
          <w:szCs w:val="22"/>
          <w:u w:val="single"/>
        </w:rPr>
      </w:pPr>
    </w:p>
    <w:p w14:paraId="6FC60F4D"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artículo 2341 del Código Civil dispone que: “</w:t>
      </w:r>
      <w:r w:rsidRPr="00D2146A">
        <w:rPr>
          <w:rFonts w:ascii="Gadugi" w:eastAsia="Century Gothic" w:hAnsi="Gadugi" w:cs="Century Gothic"/>
          <w:i/>
          <w:sz w:val="22"/>
          <w:szCs w:val="22"/>
        </w:rPr>
        <w:t>El que ha cometido un delito o culpa, que ha inferido daño a otro, es obligado a la indemnización, sin perjuicio de la pena principal que la ley imponga por la culpa o el delito cometido</w:t>
      </w:r>
      <w:r w:rsidRPr="00D2146A">
        <w:rPr>
          <w:rFonts w:ascii="Gadugi" w:eastAsia="Century Gothic" w:hAnsi="Gadugi" w:cs="Century Gothic"/>
          <w:sz w:val="22"/>
          <w:szCs w:val="22"/>
        </w:rPr>
        <w:t>.”</w:t>
      </w:r>
    </w:p>
    <w:p w14:paraId="1C46021F" w14:textId="77777777" w:rsidR="00552271" w:rsidRPr="00D2146A" w:rsidRDefault="00552271">
      <w:pPr>
        <w:jc w:val="both"/>
        <w:rPr>
          <w:rFonts w:ascii="Gadugi" w:eastAsia="Century Gothic" w:hAnsi="Gadugi" w:cs="Century Gothic"/>
          <w:sz w:val="22"/>
          <w:szCs w:val="22"/>
        </w:rPr>
      </w:pPr>
    </w:p>
    <w:p w14:paraId="44CC308F" w14:textId="77777777" w:rsidR="00552271" w:rsidRPr="00D2146A" w:rsidRDefault="003F2C4A">
      <w:pPr>
        <w:numPr>
          <w:ilvl w:val="0"/>
          <w:numId w:val="2"/>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Ley 1257 de 2008: </w:t>
      </w:r>
    </w:p>
    <w:p w14:paraId="686FBADC" w14:textId="77777777" w:rsidR="00552271" w:rsidRPr="00D2146A" w:rsidRDefault="003F2C4A">
      <w:pPr>
        <w:jc w:val="both"/>
        <w:rPr>
          <w:rFonts w:ascii="Gadugi" w:eastAsia="Century Gothic" w:hAnsi="Gadugi" w:cs="Century Gothic"/>
          <w:i/>
          <w:sz w:val="22"/>
          <w:szCs w:val="22"/>
        </w:rPr>
      </w:pPr>
      <w:r w:rsidRPr="00D2146A">
        <w:rPr>
          <w:rFonts w:ascii="Gadugi" w:eastAsia="Century Gothic" w:hAnsi="Gadugi" w:cs="Century Gothic"/>
          <w:sz w:val="22"/>
          <w:szCs w:val="22"/>
        </w:rPr>
        <w:t xml:space="preserve">El artículo 6 establece como el principio de integralidad que señala: </w:t>
      </w:r>
      <w:r w:rsidRPr="00D2146A">
        <w:rPr>
          <w:rFonts w:ascii="Gadugi" w:eastAsia="Century Gothic" w:hAnsi="Gadugi" w:cs="Century Gothic"/>
          <w:i/>
          <w:sz w:val="22"/>
          <w:szCs w:val="22"/>
        </w:rPr>
        <w:t>“La atención a las mujeres víctimas de violencia comprenderá información, prevención, orientación, protección, sanción, reparación y estabilización”.</w:t>
      </w:r>
    </w:p>
    <w:p w14:paraId="21606CC1" w14:textId="77777777" w:rsidR="00552271" w:rsidRPr="00D2146A" w:rsidRDefault="00552271">
      <w:pPr>
        <w:jc w:val="both"/>
        <w:rPr>
          <w:rFonts w:ascii="Gadugi" w:eastAsia="Century Gothic" w:hAnsi="Gadugi" w:cs="Century Gothic"/>
          <w:i/>
          <w:sz w:val="22"/>
          <w:szCs w:val="22"/>
        </w:rPr>
      </w:pPr>
    </w:p>
    <w:p w14:paraId="0B38F1FF"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Así mismo, el artículo 8 que desarrolla los derechos de las víctimas de violencia establece como derecho el de: </w:t>
      </w:r>
      <w:r w:rsidRPr="00D2146A">
        <w:rPr>
          <w:rFonts w:ascii="Gadugi" w:eastAsia="Century Gothic" w:hAnsi="Gadugi" w:cs="Century Gothic"/>
          <w:i/>
          <w:sz w:val="22"/>
          <w:szCs w:val="22"/>
        </w:rPr>
        <w:t>“i) La verdad, la justicia, la reparación y garantías de no repetición frente a los hechos constitutivos de violencia”.</w:t>
      </w:r>
      <w:r w:rsidRPr="00D2146A">
        <w:rPr>
          <w:rFonts w:ascii="Gadugi" w:eastAsia="Century Gothic" w:hAnsi="Gadugi" w:cs="Century Gothic"/>
          <w:sz w:val="22"/>
          <w:szCs w:val="22"/>
        </w:rPr>
        <w:t xml:space="preserve"> </w:t>
      </w:r>
    </w:p>
    <w:p w14:paraId="22A87ADC" w14:textId="77777777" w:rsidR="00A72A7B" w:rsidRPr="00D2146A" w:rsidRDefault="00A72A7B" w:rsidP="00A72A7B">
      <w:pPr>
        <w:pBdr>
          <w:top w:val="nil"/>
          <w:left w:val="nil"/>
          <w:bottom w:val="nil"/>
          <w:right w:val="nil"/>
          <w:between w:val="nil"/>
        </w:pBdr>
        <w:spacing w:after="200" w:line="259" w:lineRule="auto"/>
        <w:jc w:val="both"/>
        <w:rPr>
          <w:rFonts w:ascii="Gadugi" w:eastAsia="Century Gothic" w:hAnsi="Gadugi" w:cs="Century Gothic"/>
          <w:sz w:val="22"/>
          <w:szCs w:val="22"/>
        </w:rPr>
      </w:pPr>
    </w:p>
    <w:p w14:paraId="347E1EBE" w14:textId="77777777" w:rsidR="00552271" w:rsidRPr="00D2146A" w:rsidRDefault="003F2C4A" w:rsidP="00A72A7B">
      <w:pPr>
        <w:pStyle w:val="Prrafodelista"/>
        <w:numPr>
          <w:ilvl w:val="1"/>
          <w:numId w:val="31"/>
        </w:numPr>
        <w:pBdr>
          <w:top w:val="nil"/>
          <w:left w:val="nil"/>
          <w:bottom w:val="nil"/>
          <w:right w:val="nil"/>
          <w:between w:val="nil"/>
        </w:pBdr>
        <w:spacing w:line="259" w:lineRule="auto"/>
        <w:jc w:val="both"/>
        <w:rPr>
          <w:rFonts w:ascii="Gadugi" w:eastAsia="Century Gothic" w:hAnsi="Gadugi" w:cs="Century Gothic"/>
          <w:b/>
          <w:color w:val="000000"/>
        </w:rPr>
      </w:pPr>
      <w:r w:rsidRPr="00D2146A">
        <w:rPr>
          <w:rFonts w:ascii="Gadugi" w:eastAsia="Century Gothic" w:hAnsi="Gadugi" w:cs="Century Gothic"/>
          <w:b/>
          <w:color w:val="000000"/>
        </w:rPr>
        <w:t xml:space="preserve">LA PROBLEMÁTICA IDENTIFICADA: </w:t>
      </w:r>
    </w:p>
    <w:p w14:paraId="656E2A2D" w14:textId="77777777" w:rsidR="00552271" w:rsidRPr="00D2146A" w:rsidRDefault="003F2C4A">
      <w:pPr>
        <w:numPr>
          <w:ilvl w:val="0"/>
          <w:numId w:val="10"/>
        </w:numPr>
        <w:spacing w:after="160" w:line="259" w:lineRule="auto"/>
        <w:jc w:val="both"/>
        <w:rPr>
          <w:rFonts w:ascii="Gadugi" w:eastAsia="Century Gothic" w:hAnsi="Gadugi" w:cs="Century Gothic"/>
          <w:b/>
          <w:sz w:val="22"/>
          <w:szCs w:val="22"/>
        </w:rPr>
      </w:pPr>
      <w:bookmarkStart w:id="0" w:name="_heading=h.7nxj5ol8539i" w:colFirst="0" w:colLast="0"/>
      <w:bookmarkEnd w:id="0"/>
      <w:r w:rsidRPr="00D2146A">
        <w:rPr>
          <w:rFonts w:ascii="Gadugi" w:eastAsia="Century Gothic" w:hAnsi="Gadugi" w:cs="Century Gothic"/>
          <w:b/>
          <w:sz w:val="22"/>
          <w:szCs w:val="22"/>
        </w:rPr>
        <w:t xml:space="preserve">La violencia intrafamiliar y las violencias de género ejercidas en las dinámicas de pareja en Colombia: cifras y estadísticas alarmantes. </w:t>
      </w:r>
    </w:p>
    <w:p w14:paraId="4E54E14E" w14:textId="77777777" w:rsidR="00552271" w:rsidRPr="00D2146A" w:rsidRDefault="003F2C4A">
      <w:pPr>
        <w:jc w:val="both"/>
        <w:rPr>
          <w:rFonts w:ascii="Gadugi" w:eastAsia="Century Gothic" w:hAnsi="Gadugi" w:cs="Century Gothic"/>
          <w:b/>
          <w:sz w:val="22"/>
          <w:szCs w:val="22"/>
        </w:rPr>
      </w:pPr>
      <w:bookmarkStart w:id="1" w:name="_heading=h.s8axggeheni" w:colFirst="0" w:colLast="0"/>
      <w:bookmarkEnd w:id="1"/>
      <w:r w:rsidRPr="00D2146A">
        <w:rPr>
          <w:rFonts w:ascii="Gadugi" w:eastAsia="Century Gothic" w:hAnsi="Gadugi" w:cs="Century Gothic"/>
          <w:b/>
          <w:sz w:val="22"/>
          <w:szCs w:val="22"/>
        </w:rPr>
        <w:t>Violencias basadas en género dentro de la institución de la familia</w:t>
      </w:r>
      <w:r w:rsidR="00776625" w:rsidRPr="00D2146A">
        <w:rPr>
          <w:rFonts w:ascii="Gadugi" w:eastAsia="Century Gothic" w:hAnsi="Gadugi" w:cs="Century Gothic"/>
          <w:b/>
          <w:sz w:val="22"/>
          <w:szCs w:val="22"/>
        </w:rPr>
        <w:t xml:space="preserve">_ </w:t>
      </w:r>
    </w:p>
    <w:p w14:paraId="295448D3" w14:textId="77777777" w:rsidR="00776625" w:rsidRPr="00D2146A" w:rsidRDefault="00776625">
      <w:pPr>
        <w:jc w:val="both"/>
        <w:rPr>
          <w:rFonts w:ascii="Gadugi" w:eastAsia="Century Gothic" w:hAnsi="Gadugi" w:cs="Century Gothic"/>
          <w:b/>
          <w:sz w:val="22"/>
          <w:szCs w:val="22"/>
        </w:rPr>
      </w:pPr>
    </w:p>
    <w:p w14:paraId="217A982D" w14:textId="77777777" w:rsidR="00552271" w:rsidRPr="00D2146A" w:rsidRDefault="003F2C4A">
      <w:pPr>
        <w:spacing w:line="276" w:lineRule="auto"/>
        <w:jc w:val="both"/>
        <w:rPr>
          <w:rFonts w:ascii="Gadugi" w:eastAsia="Century Gothic" w:hAnsi="Gadugi" w:cs="Century Gothic"/>
          <w:sz w:val="22"/>
          <w:szCs w:val="22"/>
        </w:rPr>
      </w:pPr>
      <w:bookmarkStart w:id="2" w:name="_heading=h.5q6pdm8sv4ju" w:colFirst="0" w:colLast="0"/>
      <w:bookmarkEnd w:id="2"/>
      <w:r w:rsidRPr="00D2146A">
        <w:rPr>
          <w:rFonts w:ascii="Gadugi" w:eastAsia="Century Gothic" w:hAnsi="Gadugi" w:cs="Century Gothic"/>
          <w:sz w:val="22"/>
          <w:szCs w:val="22"/>
        </w:rPr>
        <w:t>Según la Organización Mundial de la Salud, Colombia se encuentra entre los cuatro (4) países americanos que reportan las cifras más altas de violencia intrafamiliar</w:t>
      </w:r>
      <w:r w:rsidRPr="00D2146A">
        <w:rPr>
          <w:rFonts w:ascii="Gadugi" w:eastAsia="Century Gothic" w:hAnsi="Gadugi" w:cs="Century Gothic"/>
          <w:sz w:val="22"/>
          <w:szCs w:val="22"/>
          <w:vertAlign w:val="superscript"/>
        </w:rPr>
        <w:footnoteReference w:id="1"/>
      </w:r>
      <w:r w:rsidRPr="00D2146A">
        <w:rPr>
          <w:rFonts w:ascii="Gadugi" w:eastAsia="Century Gothic" w:hAnsi="Gadugi" w:cs="Century Gothic"/>
          <w:sz w:val="22"/>
          <w:szCs w:val="22"/>
        </w:rPr>
        <w:t xml:space="preserve">, donde las mujeres son afectadas de manera desproporcionada, debido a la estructura patriarcal de la sociedad y de la institución de la familia. </w:t>
      </w:r>
    </w:p>
    <w:p w14:paraId="772CC1CC" w14:textId="77777777" w:rsidR="00776625" w:rsidRPr="00D2146A" w:rsidRDefault="00776625">
      <w:pPr>
        <w:spacing w:line="276" w:lineRule="auto"/>
        <w:jc w:val="both"/>
        <w:rPr>
          <w:rFonts w:ascii="Gadugi" w:eastAsia="Century Gothic" w:hAnsi="Gadugi" w:cs="Century Gothic"/>
          <w:sz w:val="22"/>
          <w:szCs w:val="22"/>
        </w:rPr>
      </w:pPr>
    </w:p>
    <w:p w14:paraId="0B13ABF2" w14:textId="77777777" w:rsidR="00552271" w:rsidRPr="00D2146A" w:rsidRDefault="003F2C4A">
      <w:pPr>
        <w:spacing w:line="276" w:lineRule="auto"/>
        <w:jc w:val="both"/>
        <w:rPr>
          <w:rFonts w:ascii="Gadugi" w:eastAsia="Century Gothic" w:hAnsi="Gadugi" w:cs="Century Gothic"/>
          <w:sz w:val="22"/>
          <w:szCs w:val="22"/>
        </w:rPr>
      </w:pPr>
      <w:bookmarkStart w:id="3" w:name="_heading=h.d59ii22u33r0" w:colFirst="0" w:colLast="0"/>
      <w:bookmarkEnd w:id="3"/>
      <w:r w:rsidRPr="00D2146A">
        <w:rPr>
          <w:rFonts w:ascii="Gadugi" w:eastAsia="Century Gothic" w:hAnsi="Gadugi" w:cs="Century Gothic"/>
          <w:sz w:val="22"/>
          <w:szCs w:val="22"/>
        </w:rPr>
        <w:t>Desde 2010 ha habido un aumento sustancial de denuncias. Los departamentos de Cundinamarca, Antioquia, Valle del Cauca, Santander, Boyacá y Risaralda reportan las cifras más altas</w:t>
      </w:r>
      <w:r w:rsidRPr="00D2146A">
        <w:rPr>
          <w:rFonts w:ascii="Gadugi" w:eastAsia="Century Gothic" w:hAnsi="Gadugi" w:cs="Century Gothic"/>
          <w:sz w:val="22"/>
          <w:szCs w:val="22"/>
          <w:vertAlign w:val="superscript"/>
        </w:rPr>
        <w:footnoteReference w:id="2"/>
      </w:r>
      <w:r w:rsidRPr="00D2146A">
        <w:rPr>
          <w:rFonts w:ascii="Gadugi" w:eastAsia="Century Gothic" w:hAnsi="Gadugi" w:cs="Century Gothic"/>
          <w:sz w:val="22"/>
          <w:szCs w:val="22"/>
        </w:rPr>
        <w:t xml:space="preserve">. </w:t>
      </w:r>
      <w:r w:rsidR="00776625" w:rsidRPr="00D2146A">
        <w:rPr>
          <w:rFonts w:ascii="Gadugi" w:eastAsia="Century Gothic" w:hAnsi="Gadugi" w:cs="Century Gothic"/>
          <w:sz w:val="22"/>
          <w:szCs w:val="22"/>
        </w:rPr>
        <w:t xml:space="preserve"> </w:t>
      </w:r>
      <w:r w:rsidRPr="00D2146A">
        <w:rPr>
          <w:rFonts w:ascii="Gadugi" w:eastAsia="Century Gothic" w:hAnsi="Gadugi" w:cs="Century Gothic"/>
          <w:sz w:val="22"/>
          <w:szCs w:val="22"/>
        </w:rPr>
        <w:t xml:space="preserve">En 2023, el 82,8% de las personas víctimas de violencia física, sexual y psicológica, fueron mujeres. En este periodo, la violencia física fue la más persistente contra las mujeres con 74.480 casos reportados, de los cuales las mujeres víctimas se encuentra en el grupo </w:t>
      </w:r>
      <w:proofErr w:type="spellStart"/>
      <w:r w:rsidRPr="00D2146A">
        <w:rPr>
          <w:rFonts w:ascii="Gadugi" w:eastAsia="Century Gothic" w:hAnsi="Gadugi" w:cs="Century Gothic"/>
          <w:sz w:val="22"/>
          <w:szCs w:val="22"/>
        </w:rPr>
        <w:t>etáreo</w:t>
      </w:r>
      <w:proofErr w:type="spellEnd"/>
      <w:r w:rsidRPr="00D2146A">
        <w:rPr>
          <w:rFonts w:ascii="Gadugi" w:eastAsia="Century Gothic" w:hAnsi="Gadugi" w:cs="Century Gothic"/>
          <w:sz w:val="22"/>
          <w:szCs w:val="22"/>
        </w:rPr>
        <w:t xml:space="preserve"> de los 29 - 59 años (adultez) con 38%, seguido de los 18 - 28 años (juventud) con 28%</w:t>
      </w:r>
      <w:r w:rsidRPr="00D2146A">
        <w:rPr>
          <w:rFonts w:ascii="Gadugi" w:eastAsia="Century Gothic" w:hAnsi="Gadugi" w:cs="Century Gothic"/>
          <w:sz w:val="22"/>
          <w:szCs w:val="22"/>
          <w:vertAlign w:val="superscript"/>
        </w:rPr>
        <w:footnoteReference w:id="3"/>
      </w:r>
      <w:r w:rsidRPr="00D2146A">
        <w:rPr>
          <w:rFonts w:ascii="Gadugi" w:eastAsia="Century Gothic" w:hAnsi="Gadugi" w:cs="Century Gothic"/>
          <w:sz w:val="22"/>
          <w:szCs w:val="22"/>
        </w:rPr>
        <w:t xml:space="preserve">. </w:t>
      </w:r>
    </w:p>
    <w:p w14:paraId="0CB807B5" w14:textId="77777777" w:rsidR="00552271" w:rsidRPr="00D2146A" w:rsidRDefault="00552271">
      <w:pPr>
        <w:spacing w:line="276" w:lineRule="auto"/>
        <w:jc w:val="both"/>
        <w:rPr>
          <w:rFonts w:ascii="Gadugi" w:eastAsia="Century Gothic" w:hAnsi="Gadugi" w:cs="Century Gothic"/>
          <w:sz w:val="22"/>
          <w:szCs w:val="22"/>
        </w:rPr>
      </w:pPr>
    </w:p>
    <w:p w14:paraId="0B0C655A" w14:textId="77777777" w:rsidR="00552271" w:rsidRPr="00D2146A" w:rsidRDefault="003F2C4A">
      <w:pPr>
        <w:spacing w:line="276" w:lineRule="auto"/>
        <w:jc w:val="both"/>
        <w:rPr>
          <w:rFonts w:ascii="Gadugi" w:eastAsia="Century Gothic" w:hAnsi="Gadugi" w:cs="Century Gothic"/>
          <w:sz w:val="22"/>
          <w:szCs w:val="22"/>
        </w:rPr>
      </w:pPr>
      <w:bookmarkStart w:id="4" w:name="_heading=h.8j4q0af473z9" w:colFirst="0" w:colLast="0"/>
      <w:bookmarkEnd w:id="4"/>
      <w:r w:rsidRPr="00D2146A">
        <w:rPr>
          <w:rFonts w:ascii="Gadugi" w:eastAsia="Century Gothic" w:hAnsi="Gadugi" w:cs="Century Gothic"/>
          <w:sz w:val="22"/>
          <w:szCs w:val="22"/>
        </w:rPr>
        <w:t>Si bien se registra un mayor número de casos en los que la víctima (de los tres tipos de violencia mencionados anteriormente) no convive con el victimario (en el 31,9% de los casos convive y en el 60,19% de los casos no convive), los victimarios suelen ser la pareja, la expareja o algún familiar (28,27%, 17,55% y 16,76% respectivamente)</w:t>
      </w:r>
      <w:r w:rsidRPr="00D2146A">
        <w:rPr>
          <w:rFonts w:ascii="Gadugi" w:eastAsia="Century Gothic" w:hAnsi="Gadugi" w:cs="Century Gothic"/>
          <w:sz w:val="22"/>
          <w:szCs w:val="22"/>
          <w:vertAlign w:val="superscript"/>
        </w:rPr>
        <w:footnoteReference w:id="4"/>
      </w:r>
      <w:r w:rsidRPr="00D2146A">
        <w:rPr>
          <w:rFonts w:ascii="Gadugi" w:eastAsia="Century Gothic" w:hAnsi="Gadugi" w:cs="Century Gothic"/>
          <w:sz w:val="22"/>
          <w:szCs w:val="22"/>
        </w:rPr>
        <w:t xml:space="preserve">. </w:t>
      </w:r>
    </w:p>
    <w:p w14:paraId="7598E2D1" w14:textId="77777777" w:rsidR="00552271" w:rsidRPr="00D2146A" w:rsidRDefault="00552271">
      <w:pPr>
        <w:spacing w:line="276" w:lineRule="auto"/>
        <w:jc w:val="both"/>
        <w:rPr>
          <w:rFonts w:ascii="Gadugi" w:eastAsia="Century Gothic" w:hAnsi="Gadugi" w:cs="Century Gothic"/>
          <w:sz w:val="22"/>
          <w:szCs w:val="22"/>
        </w:rPr>
      </w:pPr>
    </w:p>
    <w:p w14:paraId="054263D1" w14:textId="77777777" w:rsidR="00552271" w:rsidRPr="00D2146A" w:rsidRDefault="003F2C4A">
      <w:pPr>
        <w:spacing w:line="276" w:lineRule="auto"/>
        <w:jc w:val="both"/>
        <w:rPr>
          <w:rFonts w:ascii="Gadugi" w:eastAsia="Century Gothic" w:hAnsi="Gadugi" w:cs="Century Gothic"/>
          <w:sz w:val="22"/>
          <w:szCs w:val="22"/>
        </w:rPr>
      </w:pPr>
      <w:bookmarkStart w:id="5" w:name="_heading=h.x50o3up2kmbx" w:colFirst="0" w:colLast="0"/>
      <w:bookmarkEnd w:id="5"/>
      <w:r w:rsidRPr="00D2146A">
        <w:rPr>
          <w:rFonts w:ascii="Gadugi" w:eastAsia="Century Gothic" w:hAnsi="Gadugi" w:cs="Century Gothic"/>
          <w:sz w:val="22"/>
          <w:szCs w:val="22"/>
        </w:rPr>
        <w:t xml:space="preserve">Estas cifras demuestran que las VBG son recurrentes en los núcleos familiares, </w:t>
      </w:r>
      <w:proofErr w:type="spellStart"/>
      <w:r w:rsidRPr="00D2146A">
        <w:rPr>
          <w:rFonts w:ascii="Gadugi" w:eastAsia="Century Gothic" w:hAnsi="Gadugi" w:cs="Century Gothic"/>
          <w:sz w:val="22"/>
          <w:szCs w:val="22"/>
        </w:rPr>
        <w:t>aún</w:t>
      </w:r>
      <w:proofErr w:type="spellEnd"/>
      <w:r w:rsidRPr="00D2146A">
        <w:rPr>
          <w:rFonts w:ascii="Gadugi" w:eastAsia="Century Gothic" w:hAnsi="Gadugi" w:cs="Century Gothic"/>
          <w:sz w:val="22"/>
          <w:szCs w:val="22"/>
        </w:rPr>
        <w:t xml:space="preserve"> cuando no hay una situación de convivencia permanente. Adicionalmente, en 2023 la gran mayoría de los casos (68,23%) ocurrieron al interior de la vivienda</w:t>
      </w:r>
      <w:r w:rsidRPr="00D2146A">
        <w:rPr>
          <w:rFonts w:ascii="Gadugi" w:eastAsia="Century Gothic" w:hAnsi="Gadugi" w:cs="Century Gothic"/>
          <w:sz w:val="22"/>
          <w:szCs w:val="22"/>
          <w:vertAlign w:val="superscript"/>
        </w:rPr>
        <w:footnoteReference w:id="5"/>
      </w:r>
      <w:r w:rsidRPr="00D2146A">
        <w:rPr>
          <w:rFonts w:ascii="Gadugi" w:eastAsia="Century Gothic" w:hAnsi="Gadugi" w:cs="Century Gothic"/>
          <w:sz w:val="22"/>
          <w:szCs w:val="22"/>
        </w:rPr>
        <w:t xml:space="preserve">, lo que corrobora que las VBG son amplificadas en los entornos familiares. </w:t>
      </w:r>
    </w:p>
    <w:p w14:paraId="5EFBEE04" w14:textId="77777777" w:rsidR="00552271" w:rsidRPr="00D2146A" w:rsidRDefault="00552271">
      <w:pPr>
        <w:spacing w:line="276" w:lineRule="auto"/>
        <w:jc w:val="both"/>
        <w:rPr>
          <w:rFonts w:ascii="Gadugi" w:eastAsia="Century Gothic" w:hAnsi="Gadugi" w:cs="Century Gothic"/>
          <w:sz w:val="22"/>
          <w:szCs w:val="22"/>
        </w:rPr>
      </w:pPr>
    </w:p>
    <w:p w14:paraId="01E6E5ED" w14:textId="77777777" w:rsidR="00552271" w:rsidRPr="00D2146A" w:rsidRDefault="003F2C4A">
      <w:pPr>
        <w:spacing w:line="276" w:lineRule="auto"/>
        <w:jc w:val="both"/>
        <w:rPr>
          <w:rFonts w:ascii="Gadugi" w:eastAsia="Century Gothic" w:hAnsi="Gadugi" w:cs="Century Gothic"/>
          <w:sz w:val="22"/>
          <w:szCs w:val="22"/>
        </w:rPr>
      </w:pPr>
      <w:bookmarkStart w:id="6" w:name="_heading=h.k2wrapc0wc76" w:colFirst="0" w:colLast="0"/>
      <w:bookmarkEnd w:id="6"/>
      <w:r w:rsidRPr="00D2146A">
        <w:rPr>
          <w:rFonts w:ascii="Gadugi" w:eastAsia="Century Gothic" w:hAnsi="Gadugi" w:cs="Century Gothic"/>
          <w:sz w:val="22"/>
          <w:szCs w:val="22"/>
        </w:rPr>
        <w:t>Asimismo, durante la pandemia hubo una exacerbación de las VBG debido a la situación de confinamiento. La Secretaría Distrital de la Mujer de Bogotá reportó un riesgo acentuado de feminicidio entre las mujeres víctimas de VBG ejercidas por su pareja o expareja, superando la cifra de 1000 mujeres en situación de riesgo para el año 2020</w:t>
      </w:r>
      <w:r w:rsidRPr="00D2146A">
        <w:rPr>
          <w:rFonts w:ascii="Gadugi" w:eastAsia="Century Gothic" w:hAnsi="Gadugi" w:cs="Century Gothic"/>
          <w:sz w:val="22"/>
          <w:szCs w:val="22"/>
          <w:vertAlign w:val="superscript"/>
        </w:rPr>
        <w:footnoteReference w:id="6"/>
      </w:r>
      <w:r w:rsidRPr="00D2146A">
        <w:rPr>
          <w:rFonts w:ascii="Gadugi" w:eastAsia="Century Gothic" w:hAnsi="Gadugi" w:cs="Century Gothic"/>
          <w:sz w:val="22"/>
          <w:szCs w:val="22"/>
        </w:rPr>
        <w:t xml:space="preserve">. </w:t>
      </w:r>
    </w:p>
    <w:p w14:paraId="120F59BE" w14:textId="77777777" w:rsidR="00552271" w:rsidRPr="00D2146A" w:rsidRDefault="00552271">
      <w:pPr>
        <w:spacing w:line="276" w:lineRule="auto"/>
        <w:jc w:val="both"/>
        <w:rPr>
          <w:rFonts w:ascii="Gadugi" w:eastAsia="Century Gothic" w:hAnsi="Gadugi" w:cs="Century Gothic"/>
          <w:sz w:val="22"/>
          <w:szCs w:val="22"/>
        </w:rPr>
      </w:pPr>
    </w:p>
    <w:p w14:paraId="71F27AAE" w14:textId="77777777" w:rsidR="00552271" w:rsidRPr="00D2146A" w:rsidRDefault="003F2C4A">
      <w:pPr>
        <w:spacing w:line="276" w:lineRule="auto"/>
        <w:jc w:val="both"/>
        <w:rPr>
          <w:rFonts w:ascii="Gadugi" w:eastAsia="Century Gothic" w:hAnsi="Gadugi" w:cs="Century Gothic"/>
          <w:sz w:val="22"/>
          <w:szCs w:val="22"/>
        </w:rPr>
      </w:pPr>
      <w:bookmarkStart w:id="7" w:name="_heading=h.xa0od5c2lic2" w:colFirst="0" w:colLast="0"/>
      <w:bookmarkEnd w:id="7"/>
      <w:r w:rsidRPr="00D2146A">
        <w:rPr>
          <w:rFonts w:ascii="Gadugi" w:eastAsia="Century Gothic" w:hAnsi="Gadugi" w:cs="Century Gothic"/>
          <w:sz w:val="22"/>
          <w:szCs w:val="22"/>
        </w:rPr>
        <w:t>Cuando se analiza las cifras relacionadas con feminicidios, se evidencia que a nivel nacional cada semana 14 mujeres están siendo asesinadas por el hecho de ser mujeres, eso quiere decir que cada día ocurren 2 feminicidios en el país. Según datos del Observatorio Colombiano de Feminicidios, a junio de 2024 se han registrado 345 feminicidios, lo que representa 25 casos más que en el mismo periodo del año anterior, cuando se reportaron 264 casos, esto representa un aumento del 31% en los feminicidios para este año.</w:t>
      </w:r>
      <w:r w:rsidRPr="00D2146A">
        <w:rPr>
          <w:rFonts w:ascii="Gadugi" w:eastAsia="Century Gothic" w:hAnsi="Gadugi" w:cs="Century Gothic"/>
          <w:sz w:val="22"/>
          <w:szCs w:val="22"/>
          <w:vertAlign w:val="superscript"/>
        </w:rPr>
        <w:footnoteReference w:id="7"/>
      </w:r>
    </w:p>
    <w:p w14:paraId="7E595FF1" w14:textId="77777777" w:rsidR="00552271" w:rsidRPr="00D2146A" w:rsidRDefault="00552271">
      <w:pPr>
        <w:spacing w:line="276" w:lineRule="auto"/>
        <w:jc w:val="both"/>
        <w:rPr>
          <w:rFonts w:ascii="Gadugi" w:eastAsia="Century Gothic" w:hAnsi="Gadugi" w:cs="Century Gothic"/>
          <w:sz w:val="22"/>
          <w:szCs w:val="22"/>
        </w:rPr>
      </w:pPr>
    </w:p>
    <w:p w14:paraId="45C28EC5" w14:textId="77777777" w:rsidR="00552271" w:rsidRPr="00D2146A" w:rsidRDefault="003F2C4A">
      <w:pPr>
        <w:spacing w:line="276" w:lineRule="auto"/>
        <w:jc w:val="both"/>
        <w:rPr>
          <w:rFonts w:ascii="Gadugi" w:eastAsia="Century Gothic" w:hAnsi="Gadugi" w:cs="Century Gothic"/>
          <w:sz w:val="22"/>
          <w:szCs w:val="22"/>
        </w:rPr>
      </w:pPr>
      <w:bookmarkStart w:id="8" w:name="_heading=h.h9yc87q2fnqc" w:colFirst="0" w:colLast="0"/>
      <w:bookmarkEnd w:id="8"/>
      <w:r w:rsidRPr="00D2146A">
        <w:rPr>
          <w:rFonts w:ascii="Gadugi" w:eastAsia="Century Gothic" w:hAnsi="Gadugi" w:cs="Century Gothic"/>
          <w:sz w:val="22"/>
          <w:szCs w:val="22"/>
        </w:rPr>
        <w:t>Es importante reconocer que se registran altas cifras de víctimas de violencias basadas en género entre las poblaciones indígenas, afrodescendientes y migrantes venezolanas (3.385, 3.083 y 6.784 respectivamente para el año 2023)</w:t>
      </w:r>
      <w:r w:rsidRPr="00D2146A">
        <w:rPr>
          <w:rFonts w:ascii="Gadugi" w:eastAsia="Century Gothic" w:hAnsi="Gadugi" w:cs="Century Gothic"/>
          <w:sz w:val="22"/>
          <w:szCs w:val="22"/>
          <w:vertAlign w:val="superscript"/>
        </w:rPr>
        <w:footnoteReference w:id="8"/>
      </w:r>
      <w:r w:rsidRPr="00D2146A">
        <w:rPr>
          <w:rFonts w:ascii="Gadugi" w:eastAsia="Century Gothic" w:hAnsi="Gadugi" w:cs="Century Gothic"/>
          <w:sz w:val="22"/>
          <w:szCs w:val="22"/>
        </w:rPr>
        <w:t xml:space="preserve">, de ahí la importancia de reconocer el enfoque </w:t>
      </w:r>
      <w:proofErr w:type="spellStart"/>
      <w:r w:rsidRPr="00D2146A">
        <w:rPr>
          <w:rFonts w:ascii="Gadugi" w:eastAsia="Century Gothic" w:hAnsi="Gadugi" w:cs="Century Gothic"/>
          <w:sz w:val="22"/>
          <w:szCs w:val="22"/>
        </w:rPr>
        <w:t>interseccional</w:t>
      </w:r>
      <w:proofErr w:type="spellEnd"/>
      <w:r w:rsidRPr="00D2146A">
        <w:rPr>
          <w:rFonts w:ascii="Gadugi" w:eastAsia="Century Gothic" w:hAnsi="Gadugi" w:cs="Century Gothic"/>
          <w:sz w:val="22"/>
          <w:szCs w:val="22"/>
        </w:rPr>
        <w:t xml:space="preserve"> en la aplicación de la ley.</w:t>
      </w:r>
    </w:p>
    <w:p w14:paraId="53EBFCE6" w14:textId="77777777" w:rsidR="00552271" w:rsidRPr="00D2146A" w:rsidRDefault="00552271">
      <w:pPr>
        <w:spacing w:line="276" w:lineRule="auto"/>
        <w:jc w:val="both"/>
        <w:rPr>
          <w:rFonts w:ascii="Gadugi" w:eastAsia="Century Gothic" w:hAnsi="Gadugi" w:cs="Century Gothic"/>
          <w:sz w:val="22"/>
          <w:szCs w:val="22"/>
        </w:rPr>
      </w:pPr>
    </w:p>
    <w:p w14:paraId="1F51DB86" w14:textId="77777777" w:rsidR="00552271" w:rsidRPr="00D2146A" w:rsidRDefault="003F2C4A">
      <w:pPr>
        <w:spacing w:line="276" w:lineRule="auto"/>
        <w:jc w:val="both"/>
        <w:rPr>
          <w:rFonts w:ascii="Gadugi" w:eastAsia="Century Gothic" w:hAnsi="Gadugi" w:cs="Century Gothic"/>
          <w:sz w:val="22"/>
          <w:szCs w:val="22"/>
        </w:rPr>
      </w:pPr>
      <w:bookmarkStart w:id="9" w:name="_heading=h.mwtt3mais5cf" w:colFirst="0" w:colLast="0"/>
      <w:bookmarkEnd w:id="9"/>
      <w:r w:rsidRPr="00D2146A">
        <w:rPr>
          <w:rFonts w:ascii="Gadugi" w:eastAsia="Century Gothic" w:hAnsi="Gadugi" w:cs="Century Gothic"/>
          <w:sz w:val="22"/>
          <w:szCs w:val="22"/>
        </w:rPr>
        <w:t xml:space="preserve">De acuerdo con el informe mensual de Medicina Legal, en lo corrido de enero a abril de 2024 se han registrado 20.638 casos de violencia intrafamiliar, de los cuales 15.766 casos han sido víctimas mujeres (Ver Tabla 1). Esto muestra que la violencia intrafamiliar en contra de las mujeres ha aumentado en 685 casos más con respecto al año 2023, y es la violencia de pareja la que más víctimas mujeres registra con 11.505 casos para 2024. </w:t>
      </w:r>
    </w:p>
    <w:p w14:paraId="225F6099" w14:textId="6EFD05F0" w:rsidR="00552271" w:rsidRDefault="00552271">
      <w:pPr>
        <w:spacing w:line="276" w:lineRule="auto"/>
        <w:jc w:val="both"/>
        <w:rPr>
          <w:rFonts w:ascii="Gadugi" w:eastAsia="Century Gothic" w:hAnsi="Gadugi" w:cs="Century Gothic"/>
          <w:sz w:val="22"/>
          <w:szCs w:val="22"/>
        </w:rPr>
      </w:pPr>
    </w:p>
    <w:p w14:paraId="217B481C" w14:textId="77777777" w:rsidR="00C14DAE" w:rsidRDefault="00C14DAE">
      <w:pPr>
        <w:spacing w:line="276" w:lineRule="auto"/>
        <w:jc w:val="both"/>
        <w:rPr>
          <w:rFonts w:ascii="Gadugi" w:eastAsia="Century Gothic" w:hAnsi="Gadugi" w:cs="Century Gothic"/>
          <w:sz w:val="22"/>
          <w:szCs w:val="22"/>
        </w:rPr>
      </w:pPr>
    </w:p>
    <w:p w14:paraId="40099AE9" w14:textId="77777777" w:rsidR="00552271" w:rsidRPr="00D2146A" w:rsidRDefault="003F2C4A" w:rsidP="00776625">
      <w:pPr>
        <w:spacing w:line="276" w:lineRule="auto"/>
        <w:rPr>
          <w:rFonts w:ascii="Gadugi" w:eastAsia="Century Gothic" w:hAnsi="Gadugi" w:cs="Century Gothic"/>
          <w:b/>
          <w:sz w:val="22"/>
          <w:szCs w:val="22"/>
        </w:rPr>
      </w:pPr>
      <w:bookmarkStart w:id="10" w:name="_heading=h.q0upg4zb5x3e" w:colFirst="0" w:colLast="0"/>
      <w:bookmarkEnd w:id="10"/>
      <w:r w:rsidRPr="00D2146A">
        <w:rPr>
          <w:rFonts w:ascii="Gadugi" w:eastAsia="Century Gothic" w:hAnsi="Gadugi" w:cs="Century Gothic"/>
          <w:b/>
          <w:sz w:val="22"/>
          <w:szCs w:val="22"/>
        </w:rPr>
        <w:t>Tabla 1. Violencia Intrafamiliar según contexto y sexo. Colombia, comparativo, años 2023* y 2024* (enero - abril)</w:t>
      </w:r>
      <w:r w:rsidR="00776625" w:rsidRPr="00D2146A">
        <w:rPr>
          <w:rFonts w:ascii="Gadugi" w:eastAsia="Century Gothic" w:hAnsi="Gadugi" w:cs="Century Gothic"/>
          <w:b/>
          <w:sz w:val="22"/>
          <w:szCs w:val="22"/>
        </w:rPr>
        <w:t xml:space="preserve">: </w:t>
      </w:r>
    </w:p>
    <w:p w14:paraId="4B88A181" w14:textId="77777777" w:rsidR="00552271" w:rsidRPr="00D2146A" w:rsidRDefault="003F2C4A">
      <w:pPr>
        <w:spacing w:line="276" w:lineRule="auto"/>
        <w:jc w:val="center"/>
        <w:rPr>
          <w:rFonts w:ascii="Gadugi" w:eastAsia="Century Gothic" w:hAnsi="Gadugi" w:cs="Century Gothic"/>
          <w:sz w:val="22"/>
          <w:szCs w:val="22"/>
        </w:rPr>
      </w:pPr>
      <w:bookmarkStart w:id="11" w:name="_heading=h.5hhkfeou6j98" w:colFirst="0" w:colLast="0"/>
      <w:bookmarkEnd w:id="11"/>
      <w:r w:rsidRPr="00D2146A">
        <w:rPr>
          <w:rFonts w:ascii="Gadugi" w:eastAsia="Century Gothic" w:hAnsi="Gadugi" w:cs="Century Gothic"/>
          <w:noProof/>
          <w:sz w:val="22"/>
          <w:szCs w:val="22"/>
          <w:lang w:val="es-CO" w:eastAsia="es-CO"/>
        </w:rPr>
        <w:drawing>
          <wp:inline distT="114300" distB="114300" distL="114300" distR="114300" wp14:anchorId="41BBB368" wp14:editId="58DE7352">
            <wp:extent cx="5214253" cy="1933575"/>
            <wp:effectExtent l="0" t="0" r="5715" b="0"/>
            <wp:docPr id="38" name="image3.png" descr="A screenshot of a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table&#10;&#10;Description automatically generated"/>
                    <pic:cNvPicPr preferRelativeResize="0"/>
                  </pic:nvPicPr>
                  <pic:blipFill>
                    <a:blip r:embed="rId12"/>
                    <a:srcRect/>
                    <a:stretch>
                      <a:fillRect/>
                    </a:stretch>
                  </pic:blipFill>
                  <pic:spPr>
                    <a:xfrm>
                      <a:off x="0" y="0"/>
                      <a:ext cx="5229172" cy="1939107"/>
                    </a:xfrm>
                    <a:prstGeom prst="rect">
                      <a:avLst/>
                    </a:prstGeom>
                    <a:ln/>
                  </pic:spPr>
                </pic:pic>
              </a:graphicData>
            </a:graphic>
          </wp:inline>
        </w:drawing>
      </w:r>
    </w:p>
    <w:p w14:paraId="53A8A8EE" w14:textId="77777777" w:rsidR="00552271" w:rsidRPr="00D2146A" w:rsidRDefault="003F2C4A" w:rsidP="008119B3">
      <w:pPr>
        <w:spacing w:line="276" w:lineRule="auto"/>
        <w:jc w:val="center"/>
        <w:rPr>
          <w:rFonts w:ascii="Gadugi" w:eastAsia="Century Gothic" w:hAnsi="Gadugi" w:cs="Century Gothic"/>
          <w:sz w:val="18"/>
          <w:szCs w:val="22"/>
        </w:rPr>
      </w:pPr>
      <w:bookmarkStart w:id="12" w:name="_heading=h.9sq4v1m8bnxv" w:colFirst="0" w:colLast="0"/>
      <w:bookmarkEnd w:id="12"/>
      <w:r w:rsidRPr="00D2146A">
        <w:rPr>
          <w:rFonts w:ascii="Gadugi" w:eastAsia="Century Gothic" w:hAnsi="Gadugi" w:cs="Century Gothic"/>
          <w:sz w:val="18"/>
          <w:szCs w:val="22"/>
        </w:rPr>
        <w:t>Fuente: Medicina Legal, 2024.</w:t>
      </w:r>
      <w:r w:rsidRPr="00D2146A">
        <w:rPr>
          <w:rFonts w:ascii="Gadugi" w:eastAsia="Century Gothic" w:hAnsi="Gadugi" w:cs="Century Gothic"/>
          <w:sz w:val="18"/>
          <w:szCs w:val="22"/>
          <w:vertAlign w:val="superscript"/>
        </w:rPr>
        <w:footnoteReference w:id="9"/>
      </w:r>
    </w:p>
    <w:p w14:paraId="08658EDA" w14:textId="690F825B" w:rsidR="00776625" w:rsidRDefault="00776625">
      <w:pPr>
        <w:spacing w:line="276" w:lineRule="auto"/>
        <w:jc w:val="both"/>
        <w:rPr>
          <w:rFonts w:ascii="Gadugi" w:eastAsia="Century Gothic" w:hAnsi="Gadugi" w:cs="Century Gothic"/>
          <w:b/>
          <w:sz w:val="22"/>
          <w:szCs w:val="22"/>
        </w:rPr>
      </w:pPr>
      <w:bookmarkStart w:id="13" w:name="_heading=h.lo0wd8x2r5un" w:colFirst="0" w:colLast="0"/>
      <w:bookmarkEnd w:id="13"/>
    </w:p>
    <w:p w14:paraId="3B25F33F" w14:textId="77777777" w:rsidR="00552271" w:rsidRPr="00D2146A" w:rsidRDefault="003F2C4A" w:rsidP="00D2146A">
      <w:pPr>
        <w:pStyle w:val="Prrafodelista"/>
        <w:numPr>
          <w:ilvl w:val="0"/>
          <w:numId w:val="10"/>
        </w:numPr>
        <w:jc w:val="both"/>
        <w:rPr>
          <w:rFonts w:ascii="Gadugi" w:eastAsia="Century Gothic" w:hAnsi="Gadugi" w:cs="Century Gothic"/>
          <w:b/>
        </w:rPr>
      </w:pPr>
      <w:r w:rsidRPr="00D2146A">
        <w:rPr>
          <w:rFonts w:ascii="Gadugi" w:eastAsia="Century Gothic" w:hAnsi="Gadugi" w:cs="Century Gothic"/>
          <w:b/>
        </w:rPr>
        <w:t>Correlación entre la vulnerabilidad a las Violencias de género y la dependencia económica</w:t>
      </w:r>
    </w:p>
    <w:p w14:paraId="055EC801" w14:textId="77777777" w:rsidR="00552271" w:rsidRPr="00D2146A" w:rsidRDefault="003F2C4A">
      <w:pPr>
        <w:spacing w:line="276" w:lineRule="auto"/>
        <w:jc w:val="both"/>
        <w:rPr>
          <w:rFonts w:ascii="Gadugi" w:eastAsia="Century Gothic" w:hAnsi="Gadugi" w:cs="Century Gothic"/>
          <w:sz w:val="22"/>
          <w:szCs w:val="22"/>
        </w:rPr>
      </w:pPr>
      <w:bookmarkStart w:id="14" w:name="_heading=h.nvrhr4i2b8em" w:colFirst="0" w:colLast="0"/>
      <w:bookmarkEnd w:id="14"/>
      <w:r w:rsidRPr="00D2146A">
        <w:rPr>
          <w:rFonts w:ascii="Gadugi" w:eastAsia="Century Gothic" w:hAnsi="Gadugi" w:cs="Century Gothic"/>
          <w:sz w:val="22"/>
          <w:szCs w:val="22"/>
        </w:rPr>
        <w:t xml:space="preserve">Diversos estudios (Sanders, Cynthia K; </w:t>
      </w:r>
      <w:proofErr w:type="spellStart"/>
      <w:r w:rsidRPr="00D2146A">
        <w:rPr>
          <w:rFonts w:ascii="Gadugi" w:eastAsia="Century Gothic" w:hAnsi="Gadugi" w:cs="Century Gothic"/>
          <w:sz w:val="22"/>
          <w:szCs w:val="22"/>
        </w:rPr>
        <w:t>Seema</w:t>
      </w:r>
      <w:proofErr w:type="spellEnd"/>
      <w:r w:rsidRPr="00D2146A">
        <w:rPr>
          <w:rFonts w:ascii="Gadugi" w:eastAsia="Century Gothic" w:hAnsi="Gadugi" w:cs="Century Gothic"/>
          <w:sz w:val="22"/>
          <w:szCs w:val="22"/>
        </w:rPr>
        <w:t xml:space="preserve"> </w:t>
      </w:r>
      <w:proofErr w:type="spellStart"/>
      <w:r w:rsidRPr="00D2146A">
        <w:rPr>
          <w:rFonts w:ascii="Gadugi" w:eastAsia="Century Gothic" w:hAnsi="Gadugi" w:cs="Century Gothic"/>
          <w:sz w:val="22"/>
          <w:szCs w:val="22"/>
        </w:rPr>
        <w:t>Vyas</w:t>
      </w:r>
      <w:proofErr w:type="spellEnd"/>
      <w:r w:rsidRPr="00D2146A">
        <w:rPr>
          <w:rFonts w:ascii="Gadugi" w:eastAsia="Century Gothic" w:hAnsi="Gadugi" w:cs="Century Gothic"/>
          <w:sz w:val="22"/>
          <w:szCs w:val="22"/>
        </w:rPr>
        <w:t xml:space="preserve">, et. al.; </w:t>
      </w:r>
      <w:proofErr w:type="spellStart"/>
      <w:r w:rsidRPr="00D2146A">
        <w:rPr>
          <w:rFonts w:ascii="Gadugi" w:eastAsia="Century Gothic" w:hAnsi="Gadugi" w:cs="Century Gothic"/>
          <w:sz w:val="22"/>
          <w:szCs w:val="22"/>
        </w:rPr>
        <w:t>Michau</w:t>
      </w:r>
      <w:proofErr w:type="spellEnd"/>
      <w:r w:rsidRPr="00D2146A">
        <w:rPr>
          <w:rFonts w:ascii="Gadugi" w:eastAsia="Century Gothic" w:hAnsi="Gadugi" w:cs="Century Gothic"/>
          <w:sz w:val="22"/>
          <w:szCs w:val="22"/>
        </w:rPr>
        <w:t xml:space="preserve">, </w:t>
      </w:r>
      <w:proofErr w:type="spellStart"/>
      <w:r w:rsidRPr="00D2146A">
        <w:rPr>
          <w:rFonts w:ascii="Gadugi" w:eastAsia="Century Gothic" w:hAnsi="Gadugi" w:cs="Century Gothic"/>
          <w:sz w:val="22"/>
          <w:szCs w:val="22"/>
        </w:rPr>
        <w:t>Lori</w:t>
      </w:r>
      <w:proofErr w:type="spellEnd"/>
      <w:r w:rsidRPr="00D2146A">
        <w:rPr>
          <w:rFonts w:ascii="Gadugi" w:eastAsia="Century Gothic" w:hAnsi="Gadugi" w:cs="Century Gothic"/>
          <w:sz w:val="22"/>
          <w:szCs w:val="22"/>
        </w:rPr>
        <w:t>, et al.)</w:t>
      </w:r>
      <w:r w:rsidRPr="00D2146A">
        <w:rPr>
          <w:rFonts w:ascii="Gadugi" w:eastAsia="Century Gothic" w:hAnsi="Gadugi" w:cs="Century Gothic"/>
          <w:sz w:val="22"/>
          <w:szCs w:val="22"/>
          <w:vertAlign w:val="superscript"/>
        </w:rPr>
        <w:footnoteReference w:id="10"/>
      </w:r>
      <w:r w:rsidRPr="00D2146A">
        <w:rPr>
          <w:rFonts w:ascii="Gadugi" w:eastAsia="Century Gothic" w:hAnsi="Gadugi" w:cs="Century Gothic"/>
          <w:sz w:val="22"/>
          <w:szCs w:val="22"/>
        </w:rPr>
        <w:t xml:space="preserve"> evidencian que existe una correlación entre la ausencia de autonomía económica y la vulnerabilidad de las mujeres a las VBG en los entornos familiares. La dependencia económica de las mujeres a sus victimarios limita sus posibilidades de garantizar su supervivencia y la de sus hijas e hijos (pagar un arriendo, comprar comida, etc.), por lo que muchas veces no pueden romper con el vínculo familiar violento. </w:t>
      </w:r>
    </w:p>
    <w:p w14:paraId="202B6F1C" w14:textId="77777777" w:rsidR="00552271" w:rsidRPr="00D2146A" w:rsidRDefault="00552271">
      <w:pPr>
        <w:spacing w:line="276" w:lineRule="auto"/>
        <w:jc w:val="both"/>
        <w:rPr>
          <w:rFonts w:ascii="Gadugi" w:eastAsia="Century Gothic" w:hAnsi="Gadugi" w:cs="Century Gothic"/>
          <w:sz w:val="22"/>
          <w:szCs w:val="22"/>
        </w:rPr>
      </w:pPr>
    </w:p>
    <w:p w14:paraId="3D52471C" w14:textId="77777777" w:rsidR="00552271" w:rsidRPr="00D2146A" w:rsidRDefault="003F2C4A">
      <w:pPr>
        <w:spacing w:line="276" w:lineRule="auto"/>
        <w:jc w:val="both"/>
        <w:rPr>
          <w:rFonts w:ascii="Gadugi" w:eastAsia="Century Gothic" w:hAnsi="Gadugi" w:cs="Century Gothic"/>
          <w:sz w:val="22"/>
          <w:szCs w:val="22"/>
        </w:rPr>
      </w:pPr>
      <w:bookmarkStart w:id="15" w:name="_heading=h.mozs6otbua97" w:colFirst="0" w:colLast="0"/>
      <w:bookmarkEnd w:id="15"/>
      <w:r w:rsidRPr="00D2146A">
        <w:rPr>
          <w:rFonts w:ascii="Gadugi" w:eastAsia="Century Gothic" w:hAnsi="Gadugi" w:cs="Century Gothic"/>
          <w:sz w:val="22"/>
          <w:szCs w:val="22"/>
        </w:rPr>
        <w:t>Así, en su informe para la región de Latinoamérica y el Caribe, la CEPAL ha reiterado que “la autonomía económica de las mujeres [genera] las condiciones materiales necesarias para que sea posible superar las situaciones de violencia”</w:t>
      </w:r>
      <w:r w:rsidRPr="00D2146A">
        <w:rPr>
          <w:rFonts w:ascii="Gadugi" w:eastAsia="Century Gothic" w:hAnsi="Gadugi" w:cs="Century Gothic"/>
          <w:sz w:val="22"/>
          <w:szCs w:val="22"/>
          <w:vertAlign w:val="superscript"/>
        </w:rPr>
        <w:footnoteReference w:id="11"/>
      </w:r>
      <w:r w:rsidRPr="00D2146A">
        <w:rPr>
          <w:rFonts w:ascii="Gadugi" w:eastAsia="Century Gothic" w:hAnsi="Gadugi" w:cs="Century Gothic"/>
          <w:sz w:val="22"/>
          <w:szCs w:val="22"/>
        </w:rPr>
        <w:t xml:space="preserve">. Por lo tanto, una reparación integral, que incluya la reparación económica de las víctimas, resulta esencial para que las mujeres puedan superar las condiciones materiales estructurales que las hacen vulnerables a las VBG y que les impiden romper con las estructuras familiares violentas. </w:t>
      </w:r>
    </w:p>
    <w:p w14:paraId="187ED105" w14:textId="77777777" w:rsidR="00552271" w:rsidRPr="00D2146A" w:rsidRDefault="003F2C4A">
      <w:pPr>
        <w:spacing w:line="276" w:lineRule="auto"/>
        <w:jc w:val="both"/>
        <w:rPr>
          <w:rFonts w:ascii="Gadugi" w:eastAsia="Century Gothic" w:hAnsi="Gadugi" w:cs="Century Gothic"/>
          <w:sz w:val="22"/>
          <w:szCs w:val="22"/>
        </w:rPr>
      </w:pPr>
      <w:bookmarkStart w:id="16" w:name="_heading=h.ka6rbtgi0mc" w:colFirst="0" w:colLast="0"/>
      <w:bookmarkEnd w:id="16"/>
      <w:r w:rsidRPr="00D2146A">
        <w:rPr>
          <w:rFonts w:ascii="Gadugi" w:eastAsia="Century Gothic" w:hAnsi="Gadugi" w:cs="Century Gothic"/>
          <w:sz w:val="22"/>
          <w:szCs w:val="22"/>
        </w:rPr>
        <w:t>En especial, teniendo en cuenta las marcadas brechas de género en la distribución de la riqueza, el acceso al empleo remunerado, la autonomía económica y la distribución del trabajo de cuidado no remunerado, donde, según el II Informe de ONU Mujeres “Mujeres y hombres: brechas de género en Colombia” (2022):</w:t>
      </w:r>
    </w:p>
    <w:p w14:paraId="54256A1B" w14:textId="77777777" w:rsidR="00552271" w:rsidRPr="00D2146A" w:rsidRDefault="00552271">
      <w:pPr>
        <w:spacing w:line="276" w:lineRule="auto"/>
        <w:jc w:val="both"/>
        <w:rPr>
          <w:rFonts w:ascii="Gadugi" w:eastAsia="Century Gothic" w:hAnsi="Gadugi" w:cs="Century Gothic"/>
          <w:sz w:val="22"/>
          <w:szCs w:val="22"/>
        </w:rPr>
      </w:pPr>
    </w:p>
    <w:p w14:paraId="3A647DFA"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17" w:name="_heading=h.b7i0wbxkuahq" w:colFirst="0" w:colLast="0"/>
      <w:bookmarkEnd w:id="17"/>
      <w:r w:rsidRPr="00D2146A">
        <w:rPr>
          <w:rFonts w:ascii="Gadugi" w:eastAsia="Century Gothic" w:hAnsi="Gadugi" w:cs="Century Gothic"/>
          <w:sz w:val="22"/>
          <w:szCs w:val="22"/>
        </w:rPr>
        <w:t>Existe una brecha de género de 6,7 puntos porcentuales (</w:t>
      </w:r>
      <w:proofErr w:type="spellStart"/>
      <w:r w:rsidRPr="00D2146A">
        <w:rPr>
          <w:rFonts w:ascii="Gadugi" w:eastAsia="Century Gothic" w:hAnsi="Gadugi" w:cs="Century Gothic"/>
          <w:sz w:val="22"/>
          <w:szCs w:val="22"/>
        </w:rPr>
        <w:t>pp</w:t>
      </w:r>
      <w:proofErr w:type="spellEnd"/>
      <w:r w:rsidRPr="00D2146A">
        <w:rPr>
          <w:rFonts w:ascii="Gadugi" w:eastAsia="Century Gothic" w:hAnsi="Gadugi" w:cs="Century Gothic"/>
          <w:sz w:val="22"/>
          <w:szCs w:val="22"/>
        </w:rPr>
        <w:t>) en la tasa de desempleo (10,4% hombres; 17.1% mujeres).</w:t>
      </w:r>
    </w:p>
    <w:p w14:paraId="3C41B670" w14:textId="77777777" w:rsidR="00552271" w:rsidRPr="00D2146A" w:rsidRDefault="00552271">
      <w:pPr>
        <w:spacing w:line="276" w:lineRule="auto"/>
        <w:ind w:left="720"/>
        <w:jc w:val="both"/>
        <w:rPr>
          <w:rFonts w:ascii="Gadugi" w:eastAsia="Century Gothic" w:hAnsi="Gadugi" w:cs="Century Gothic"/>
          <w:sz w:val="22"/>
          <w:szCs w:val="22"/>
        </w:rPr>
      </w:pPr>
    </w:p>
    <w:p w14:paraId="4000BFA1"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18" w:name="_heading=h.mhrcjgd5f885" w:colFirst="0" w:colLast="0"/>
      <w:bookmarkEnd w:id="18"/>
      <w:r w:rsidRPr="00D2146A">
        <w:rPr>
          <w:rFonts w:ascii="Gadugi" w:eastAsia="Century Gothic" w:hAnsi="Gadugi" w:cs="Century Gothic"/>
          <w:sz w:val="22"/>
          <w:szCs w:val="22"/>
        </w:rPr>
        <w:t>Entre la población por fuera de la fuerza laboral que se dedica exclusivamente a los oficios del hogar el 72,8% son mujeres mientras que el 24,5% son hombres.</w:t>
      </w:r>
    </w:p>
    <w:p w14:paraId="40FB6B2F"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19" w:name="_heading=h.9x1ofwyc8v1c" w:colFirst="0" w:colLast="0"/>
      <w:bookmarkEnd w:id="19"/>
      <w:r w:rsidRPr="00D2146A">
        <w:rPr>
          <w:rFonts w:ascii="Gadugi" w:eastAsia="Century Gothic" w:hAnsi="Gadugi" w:cs="Century Gothic"/>
          <w:sz w:val="22"/>
          <w:szCs w:val="22"/>
        </w:rPr>
        <w:t xml:space="preserve">Las mujeres que participan en la fuerza laboral se encuentran principalmente en las labores más precarizadas y peor remuneradas como el trabajo doméstico (donde el 6,3% son mujeres y el 0,3% hombres). </w:t>
      </w:r>
    </w:p>
    <w:p w14:paraId="5B40955B"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20" w:name="_heading=h.fm4qdp669j5l" w:colFirst="0" w:colLast="0"/>
      <w:bookmarkEnd w:id="20"/>
      <w:r w:rsidRPr="00D2146A">
        <w:rPr>
          <w:rFonts w:ascii="Gadugi" w:eastAsia="Century Gothic" w:hAnsi="Gadugi" w:cs="Century Gothic"/>
          <w:sz w:val="22"/>
          <w:szCs w:val="22"/>
        </w:rPr>
        <w:t>Se evidencia una creciente brecha de género en el total de personas graduadas de las carreras mejor remuneradas, en especial, de las ingenierías.</w:t>
      </w:r>
    </w:p>
    <w:p w14:paraId="60C9D3C7"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21" w:name="_heading=h.omulqe5wlhrf" w:colFirst="0" w:colLast="0"/>
      <w:bookmarkEnd w:id="21"/>
      <w:r w:rsidRPr="00D2146A">
        <w:rPr>
          <w:rFonts w:ascii="Gadugi" w:eastAsia="Century Gothic" w:hAnsi="Gadugi" w:cs="Century Gothic"/>
          <w:sz w:val="22"/>
          <w:szCs w:val="22"/>
        </w:rPr>
        <w:t>A pesar de que según el DANE hubo una reducción importante de la brecha salarial de género entre 2013 y 2020, persiste una brecha de 5,8pp.</w:t>
      </w:r>
    </w:p>
    <w:p w14:paraId="3CF03EA9" w14:textId="2D59D09C" w:rsidR="00552271" w:rsidRPr="00D2146A" w:rsidRDefault="003F2C4A">
      <w:pPr>
        <w:numPr>
          <w:ilvl w:val="0"/>
          <w:numId w:val="5"/>
        </w:numPr>
        <w:spacing w:after="160" w:line="276" w:lineRule="auto"/>
        <w:jc w:val="both"/>
        <w:rPr>
          <w:rFonts w:ascii="Gadugi" w:eastAsia="Century Gothic" w:hAnsi="Gadugi" w:cs="Century Gothic"/>
          <w:sz w:val="22"/>
          <w:szCs w:val="22"/>
        </w:rPr>
      </w:pPr>
      <w:bookmarkStart w:id="22" w:name="_heading=h.gs0ml3r6bbrx" w:colFirst="0" w:colLast="0"/>
      <w:bookmarkEnd w:id="22"/>
      <w:r w:rsidRPr="00D2146A">
        <w:rPr>
          <w:rFonts w:ascii="Gadugi" w:eastAsia="Century Gothic" w:hAnsi="Gadugi" w:cs="Century Gothic"/>
          <w:sz w:val="22"/>
          <w:szCs w:val="22"/>
        </w:rPr>
        <w:t xml:space="preserve">Persiste la brecha de género en el trabajo de cuidado no remunerado, lo que obliga a las mujeres a trabajar más horas: “la carga de trabajo diaria de las mujeres fue casi tres horas mayor que la de los hombres (13 horas y 31 minutos frente a 10 horas y 41 minutos)”. La inequitativa distribución en el trabajo de cuidado no </w:t>
      </w:r>
      <w:r w:rsidR="00207D91" w:rsidRPr="00D2146A">
        <w:rPr>
          <w:rFonts w:ascii="Gadugi" w:eastAsia="Century Gothic" w:hAnsi="Gadugi" w:cs="Century Gothic"/>
          <w:sz w:val="22"/>
          <w:szCs w:val="22"/>
        </w:rPr>
        <w:t>remunerado</w:t>
      </w:r>
      <w:r w:rsidRPr="00D2146A">
        <w:rPr>
          <w:rFonts w:ascii="Gadugi" w:eastAsia="Century Gothic" w:hAnsi="Gadugi" w:cs="Century Gothic"/>
          <w:sz w:val="22"/>
          <w:szCs w:val="22"/>
        </w:rPr>
        <w:t xml:space="preserve"> limita las posibilidades de las mujeres para su vinculación al mercado laboral y para su desarrollo profesional</w:t>
      </w:r>
      <w:r w:rsidRPr="00D2146A">
        <w:rPr>
          <w:rFonts w:ascii="Gadugi" w:eastAsia="Century Gothic" w:hAnsi="Gadugi" w:cs="Century Gothic"/>
          <w:sz w:val="22"/>
          <w:szCs w:val="22"/>
          <w:vertAlign w:val="superscript"/>
        </w:rPr>
        <w:footnoteReference w:id="12"/>
      </w:r>
      <w:r w:rsidRPr="00D2146A">
        <w:rPr>
          <w:rFonts w:ascii="Gadugi" w:eastAsia="Century Gothic" w:hAnsi="Gadugi" w:cs="Century Gothic"/>
          <w:sz w:val="22"/>
          <w:szCs w:val="22"/>
        </w:rPr>
        <w:t xml:space="preserve">. </w:t>
      </w:r>
    </w:p>
    <w:p w14:paraId="67A0A90B" w14:textId="77777777" w:rsidR="00552271" w:rsidRPr="00D2146A" w:rsidRDefault="003F2C4A">
      <w:pPr>
        <w:spacing w:line="276" w:lineRule="auto"/>
        <w:jc w:val="both"/>
        <w:rPr>
          <w:rFonts w:ascii="Gadugi" w:eastAsia="Century Gothic" w:hAnsi="Gadugi" w:cs="Century Gothic"/>
          <w:b/>
          <w:sz w:val="22"/>
          <w:szCs w:val="22"/>
        </w:rPr>
      </w:pPr>
      <w:bookmarkStart w:id="23" w:name="_heading=h.efd0dyeha948" w:colFirst="0" w:colLast="0"/>
      <w:bookmarkEnd w:id="23"/>
      <w:r w:rsidRPr="00D2146A">
        <w:rPr>
          <w:rFonts w:ascii="Gadugi" w:eastAsia="Century Gothic" w:hAnsi="Gadugi" w:cs="Century Gothic"/>
          <w:sz w:val="22"/>
          <w:szCs w:val="22"/>
        </w:rPr>
        <w:t>En este orden de ideas, el acceso a la reparación integral puede funcionar como un soporte económico que permita que las mujeres puedan sobrevivir por fuera del núcleo familiar violento e iniciar su proceso de autonomía económica.</w:t>
      </w:r>
    </w:p>
    <w:p w14:paraId="1981E80F" w14:textId="77777777" w:rsidR="00552271" w:rsidRPr="00D2146A" w:rsidRDefault="003F2C4A">
      <w:pPr>
        <w:spacing w:line="276" w:lineRule="auto"/>
        <w:jc w:val="both"/>
        <w:rPr>
          <w:rFonts w:ascii="Gadugi" w:eastAsia="Century Gothic" w:hAnsi="Gadugi" w:cs="Century Gothic"/>
          <w:sz w:val="22"/>
          <w:szCs w:val="22"/>
        </w:rPr>
      </w:pPr>
      <w:bookmarkStart w:id="24" w:name="_heading=h.voah2neruqtg" w:colFirst="0" w:colLast="0"/>
      <w:bookmarkEnd w:id="24"/>
      <w:r w:rsidRPr="00D2146A">
        <w:rPr>
          <w:rFonts w:ascii="Gadugi" w:eastAsia="Century Gothic" w:hAnsi="Gadugi" w:cs="Century Gothic"/>
          <w:sz w:val="22"/>
          <w:szCs w:val="22"/>
        </w:rPr>
        <w:t>Finalmente, las mujeres víctimas de violencia intrafamiliar reportan cifras elevadas de trauma, enfermedades y condiciones psicológicas asociadas a la violencia que experimentaron</w:t>
      </w:r>
      <w:r w:rsidRPr="00D2146A">
        <w:rPr>
          <w:rFonts w:ascii="Gadugi" w:eastAsia="Century Gothic" w:hAnsi="Gadugi" w:cs="Century Gothic"/>
          <w:sz w:val="22"/>
          <w:szCs w:val="22"/>
          <w:vertAlign w:val="superscript"/>
        </w:rPr>
        <w:footnoteReference w:id="13"/>
      </w:r>
      <w:r w:rsidRPr="00D2146A">
        <w:rPr>
          <w:rFonts w:ascii="Gadugi" w:eastAsia="Century Gothic" w:hAnsi="Gadugi" w:cs="Century Gothic"/>
          <w:sz w:val="22"/>
          <w:szCs w:val="22"/>
        </w:rPr>
        <w:t>, por lo que su reparación integral (y en especial económica) resulta esencial para que puedan cubrir los gastos asociados a tratamientos médicos y psicológicos.</w:t>
      </w:r>
    </w:p>
    <w:p w14:paraId="27B051DB" w14:textId="77777777" w:rsidR="00552271" w:rsidRPr="00D2146A" w:rsidRDefault="00552271">
      <w:pPr>
        <w:spacing w:line="276" w:lineRule="auto"/>
        <w:jc w:val="both"/>
        <w:rPr>
          <w:rFonts w:ascii="Gadugi" w:eastAsia="Century Gothic" w:hAnsi="Gadugi" w:cs="Century Gothic"/>
          <w:sz w:val="22"/>
          <w:szCs w:val="22"/>
        </w:rPr>
      </w:pPr>
    </w:p>
    <w:p w14:paraId="32410032" w14:textId="77777777" w:rsidR="00552271" w:rsidRPr="00D2146A" w:rsidRDefault="003F2C4A">
      <w:pPr>
        <w:numPr>
          <w:ilvl w:val="0"/>
          <w:numId w:val="10"/>
        </w:numPr>
        <w:spacing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Las insuficiencias normativas frente a las violencias de género y violencias en el contexto familiar: </w:t>
      </w:r>
    </w:p>
    <w:p w14:paraId="02B15C81"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 imperativo recordar que la familia, como núcleo fundamental de la sociedad, es el escenario natural para el desarrollo de la personalidad de sus miembros; es allí donde cada uno de ellos tendrá una primera posibilidad de ejercicio de las libertades individuales. Por eso cualquier conducta violenta o abusiva reviste la mayor gravedad si ocurre en la familia, pues comporta no solo la violación de los derechos y libertades de un pariente, sino que este se verá obligado a soportar la convivencia con el agresor, lo que comporta un recuerdo permanente de la agresión, así como la exposición a eventuales agresiones.</w:t>
      </w:r>
    </w:p>
    <w:p w14:paraId="69366846" w14:textId="77777777" w:rsidR="00552271" w:rsidRPr="00D2146A" w:rsidRDefault="00552271">
      <w:pPr>
        <w:jc w:val="both"/>
        <w:rPr>
          <w:rFonts w:ascii="Gadugi" w:eastAsia="Century Gothic" w:hAnsi="Gadugi" w:cs="Century Gothic"/>
          <w:sz w:val="22"/>
          <w:szCs w:val="22"/>
        </w:rPr>
      </w:pPr>
    </w:p>
    <w:p w14:paraId="674B3419"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Este proyecto de ley busca cobijar y responder a una problemática social con impactos múltiples y gravosos: las violencias de género y otras violencias en el contexto familiar. Es decir, no se limita al concepto de violencia intrafamiliar del artículo 229</w:t>
      </w:r>
      <w:r w:rsidRPr="00D2146A">
        <w:rPr>
          <w:rFonts w:ascii="Gadugi" w:eastAsia="Century Gothic" w:hAnsi="Gadugi" w:cs="Century Gothic"/>
          <w:sz w:val="22"/>
          <w:szCs w:val="22"/>
          <w:vertAlign w:val="superscript"/>
        </w:rPr>
        <w:footnoteReference w:id="14"/>
      </w:r>
      <w:r w:rsidRPr="00D2146A">
        <w:rPr>
          <w:rFonts w:ascii="Gadugi" w:eastAsia="Century Gothic" w:hAnsi="Gadugi" w:cs="Century Gothic"/>
          <w:sz w:val="22"/>
          <w:szCs w:val="22"/>
        </w:rPr>
        <w:t xml:space="preserve"> del código penal o al abordado por la ley 294 de 1996, sino que trae a colación la violencia en el contexto familiar reconocida por la Ley 2126 de 2021. En esta ley se fijan herramientas para las Comisarias de Familia para “prevenir, proteger, restablecer, reparar y garantizar los derechos de quienes están en riesgo o sean víctimas de violencia por razones de género en el contexto familiar o víctimas de otras violencias en el contexto familiar.”  </w:t>
      </w:r>
    </w:p>
    <w:p w14:paraId="4B1A9ECA" w14:textId="77777777" w:rsidR="00552271" w:rsidRPr="00D2146A" w:rsidRDefault="00552271">
      <w:pPr>
        <w:jc w:val="both"/>
        <w:rPr>
          <w:rFonts w:ascii="Gadugi" w:eastAsia="Century Gothic" w:hAnsi="Gadugi" w:cs="Century Gothic"/>
          <w:sz w:val="22"/>
          <w:szCs w:val="22"/>
        </w:rPr>
      </w:pPr>
    </w:p>
    <w:p w14:paraId="574A80F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La violencia en el contexto familiar es toda acción u omisión que causa un daño o sufrimiento físico, sexual, psicológico, patrimonial o económico; en razón a una amenaza, ofensa o cualquier otra forma de agresión que se comete por uno o más miembros de la familia, contra uno o más integrantes de la misma, aunque no convivan bajo el mismo techo. Esta concepción más amplia busca reconocer que las violencias en la familia se pueden dar incluso si no se convive habitualmente y va más allá de la familia nuclear e integra a todas las personas que tienen un vínculo familiar. </w:t>
      </w:r>
    </w:p>
    <w:p w14:paraId="6041D4C0" w14:textId="77777777" w:rsidR="00552271" w:rsidRPr="00D2146A" w:rsidRDefault="00552271">
      <w:pPr>
        <w:jc w:val="both"/>
        <w:rPr>
          <w:rFonts w:ascii="Gadugi" w:eastAsia="Century Gothic" w:hAnsi="Gadugi" w:cs="Century Gothic"/>
          <w:sz w:val="22"/>
          <w:szCs w:val="22"/>
        </w:rPr>
      </w:pPr>
    </w:p>
    <w:p w14:paraId="588BA7D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Este cambio conceptual no es un tema menor e importa por, al menos, dos razones: primero, el concepto de violencia intrafamiliar se puede quedar corto para reflejar la magnitud de este fenómeno; y es con base en esta definición limitada que se despliega la respuesta estatal penal y el incidente de reparación integral. Segundo, es más acorde con el enfoque contemporáneo de las violencias de género y familiares, puesto que las mismas no son un tema privado o “de casa”, sino que son dinámicas inadmisibles que corresponden con un tema de interés general</w:t>
      </w:r>
      <w:r w:rsidRPr="00D2146A">
        <w:rPr>
          <w:rFonts w:ascii="Gadugi" w:eastAsia="Century Gothic" w:hAnsi="Gadugi" w:cs="Century Gothic"/>
          <w:sz w:val="22"/>
          <w:szCs w:val="22"/>
          <w:vertAlign w:val="superscript"/>
        </w:rPr>
        <w:footnoteReference w:id="15"/>
      </w:r>
      <w:r w:rsidRPr="00D2146A">
        <w:rPr>
          <w:rFonts w:ascii="Gadugi" w:eastAsia="Century Gothic" w:hAnsi="Gadugi" w:cs="Century Gothic"/>
          <w:sz w:val="22"/>
          <w:szCs w:val="22"/>
        </w:rPr>
        <w:t xml:space="preserve"> y, por ello, el Estado debe intervenir y garantizar unas acciones de atención, investigación, judicialización y reparación. </w:t>
      </w:r>
    </w:p>
    <w:p w14:paraId="00B38229"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concreto, este proyecto de ley apoya este enfoque respecto a las violencias de género y otras violencias en el contexto familiar, puesto que parte de la premisa de que estas violencias son un asunto público y requieren de respuestas estatales de diferente naturaleza. Entre estas, una legislación para fijar medidas de reparación e indemnización en favor de las víctimas. </w:t>
      </w:r>
    </w:p>
    <w:p w14:paraId="01950D34" w14:textId="77777777" w:rsidR="00552271" w:rsidRPr="00D2146A" w:rsidRDefault="00552271">
      <w:pPr>
        <w:jc w:val="both"/>
        <w:rPr>
          <w:rFonts w:ascii="Gadugi" w:eastAsia="Century Gothic" w:hAnsi="Gadugi" w:cs="Century Gothic"/>
          <w:sz w:val="22"/>
          <w:szCs w:val="22"/>
        </w:rPr>
      </w:pPr>
    </w:p>
    <w:p w14:paraId="4E28411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Aunque Colombia ha avanzado en la expedición de normas sobre violencias de género y políticas públicas enfocadas en abordarlas; también es cierto que algunas de las medidas que debe garantizar el Estado colombiano -de las obligaciones de prevención, atención, investigación, judicialización y reparación de las violencias- no cuentan con un sustento normativo y desarrollo claro y eficaz en el sistema jurídico colombiano. Para ser más precisa, las medidas de reparación integral por la ocurrencia de violencias de género y otras violencias en la familia tienen una única respuesta: el incidente de reparación integral después de surtido un tortuoso proceso penal. En otros escenarios, como el derecho civil, administrativo o de familia no existe una herramienta procesal indemnizatoria. Es decir, existe un grave vacío normativo en el derecho de familia -primero en responder a las dinámicas familiares-. Este vacío ha sido reconocido tanto por la Corte Constitucional, como por la Corte Suprema de Justicia. Por ejemplo, en la sentencia STC-4283 de 2022 se indicó:</w:t>
      </w:r>
    </w:p>
    <w:p w14:paraId="79569D81" w14:textId="77777777" w:rsidR="00552271" w:rsidRPr="00D2146A" w:rsidRDefault="003F2C4A">
      <w:pPr>
        <w:spacing w:before="240" w:after="240" w:line="276" w:lineRule="auto"/>
        <w:ind w:firstLine="720"/>
        <w:jc w:val="both"/>
        <w:rPr>
          <w:rFonts w:ascii="Gadugi" w:eastAsia="Century Gothic" w:hAnsi="Gadugi" w:cs="Century Gothic"/>
          <w:sz w:val="22"/>
          <w:szCs w:val="22"/>
        </w:rPr>
      </w:pPr>
      <w:r w:rsidRPr="00D2146A">
        <w:rPr>
          <w:rFonts w:ascii="Gadugi" w:eastAsia="Century Gothic" w:hAnsi="Gadugi" w:cs="Century Gothic"/>
          <w:i/>
          <w:sz w:val="22"/>
          <w:szCs w:val="22"/>
        </w:rPr>
        <w:t xml:space="preserve">“Del análisis jurisprudencial en comento, resulta dable concluir que tratándose de actos de violencia doméstica ocurridos dentro de los vínculos matrimoniales o de hecho, «(i) las víctimas (…) tienen derecho a una reparación integral; (ii) </w:t>
      </w:r>
      <w:r w:rsidRPr="00D2146A">
        <w:rPr>
          <w:rFonts w:ascii="Gadugi" w:eastAsia="Century Gothic" w:hAnsi="Gadugi" w:cs="Century Gothic"/>
          <w:i/>
          <w:sz w:val="22"/>
          <w:szCs w:val="22"/>
          <w:u w:val="single"/>
        </w:rPr>
        <w:t>no existen mecanismos procesales para reclamar esa reparación al interior de los juicios [declarativos]</w:t>
      </w:r>
      <w:r w:rsidRPr="00D2146A">
        <w:rPr>
          <w:rFonts w:ascii="Gadugi" w:eastAsia="Century Gothic" w:hAnsi="Gadugi" w:cs="Century Gothic"/>
          <w:i/>
          <w:sz w:val="22"/>
          <w:szCs w:val="22"/>
        </w:rPr>
        <w:t xml:space="preserve"> (…), lo que </w:t>
      </w:r>
      <w:r w:rsidRPr="00D2146A">
        <w:rPr>
          <w:rFonts w:ascii="Gadugi" w:eastAsia="Century Gothic" w:hAnsi="Gadugi" w:cs="Century Gothic"/>
          <w:i/>
          <w:sz w:val="22"/>
          <w:szCs w:val="22"/>
          <w:u w:val="single"/>
        </w:rPr>
        <w:t>se traduce en un inaceptable déficit de protección para esas víctimas; y (iii) ese déficit debe superarse habilitando un trámite incidental de reparación»</w:t>
      </w:r>
      <w:r w:rsidRPr="00D2146A">
        <w:rPr>
          <w:rFonts w:ascii="Gadugi" w:eastAsia="Century Gothic" w:hAnsi="Gadugi" w:cs="Century Gothic"/>
          <w:i/>
          <w:sz w:val="22"/>
          <w:szCs w:val="22"/>
        </w:rPr>
        <w:t>.(...)”</w:t>
      </w:r>
    </w:p>
    <w:p w14:paraId="0AE556A7" w14:textId="77777777" w:rsidR="00A72A7B" w:rsidRPr="00D2146A" w:rsidRDefault="003F2C4A" w:rsidP="00A72A7B">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los siguientes apartados se explica de forma más detallada el alcance y las falencias de las figuras jurídicas actuales, que demuestran la necesidad de contar con una herramienta jurídica procesal clara para lograr la reparación de las violencias de género y otras en el contexto familiar, como la que se propone en esta iniciativa.   </w:t>
      </w:r>
    </w:p>
    <w:p w14:paraId="1B39F0A7" w14:textId="77777777" w:rsidR="00A72A7B" w:rsidRPr="00D2146A" w:rsidRDefault="00A72A7B" w:rsidP="00A72A7B">
      <w:pPr>
        <w:jc w:val="both"/>
        <w:rPr>
          <w:rFonts w:ascii="Gadugi" w:eastAsia="Century Gothic" w:hAnsi="Gadugi" w:cs="Century Gothic"/>
          <w:sz w:val="22"/>
          <w:szCs w:val="22"/>
        </w:rPr>
      </w:pPr>
    </w:p>
    <w:p w14:paraId="18D2020C" w14:textId="77777777" w:rsidR="00552271" w:rsidRPr="00D2146A" w:rsidRDefault="003F2C4A" w:rsidP="00A72A7B">
      <w:pPr>
        <w:pStyle w:val="Prrafodelista"/>
        <w:numPr>
          <w:ilvl w:val="1"/>
          <w:numId w:val="31"/>
        </w:numPr>
        <w:jc w:val="both"/>
        <w:rPr>
          <w:rFonts w:ascii="Gadugi" w:eastAsia="Century Gothic" w:hAnsi="Gadugi" w:cs="Century Gothic"/>
        </w:rPr>
      </w:pPr>
      <w:r w:rsidRPr="00D2146A">
        <w:rPr>
          <w:rFonts w:ascii="Gadugi" w:eastAsia="Century Gothic" w:hAnsi="Gadugi" w:cs="Century Gothic"/>
          <w:b/>
          <w:color w:val="000000"/>
        </w:rPr>
        <w:t>Las violencias de género y otras formas de violencias en el contexto familiar:</w:t>
      </w:r>
    </w:p>
    <w:p w14:paraId="4BA555DC" w14:textId="77777777" w:rsidR="00552271" w:rsidRPr="00D2146A" w:rsidRDefault="003F2C4A">
      <w:pPr>
        <w:numPr>
          <w:ilvl w:val="0"/>
          <w:numId w:val="22"/>
        </w:numPr>
        <w:spacing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El incidente de reparación integral de perjuicios en los procesos penales por el delito de violencia intrafamiliar: </w:t>
      </w:r>
    </w:p>
    <w:p w14:paraId="20DBA80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Código Penal establece un capítulo sobre delitos contra la familia, donde se consagran dos:</w:t>
      </w:r>
    </w:p>
    <w:p w14:paraId="25CAA702" w14:textId="77777777" w:rsidR="00552271" w:rsidRPr="00D2146A" w:rsidRDefault="003F2C4A">
      <w:pPr>
        <w:numPr>
          <w:ilvl w:val="0"/>
          <w:numId w:val="14"/>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Violencia Intrafamiliar, establecido en el artículo 229.</w:t>
      </w:r>
    </w:p>
    <w:p w14:paraId="6A75B89D" w14:textId="77777777" w:rsidR="00552271" w:rsidRPr="00D2146A" w:rsidRDefault="003F2C4A">
      <w:pPr>
        <w:numPr>
          <w:ilvl w:val="0"/>
          <w:numId w:val="14"/>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Ejercicio Arbitrario de la Custodia de Hijo Menor de Edad, establecido en el artículo 230A</w:t>
      </w:r>
    </w:p>
    <w:p w14:paraId="4138446A"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Igualmente, consagra una serie de agravantes cuando el sujeto pasivo la conducta punible es miembro de su misma familia:</w:t>
      </w:r>
    </w:p>
    <w:p w14:paraId="26A56722" w14:textId="77777777" w:rsidR="00552271" w:rsidRPr="00D2146A" w:rsidRDefault="00552271">
      <w:pPr>
        <w:jc w:val="both"/>
        <w:rPr>
          <w:rFonts w:ascii="Gadugi" w:eastAsia="Century Gothic" w:hAnsi="Gadugi" w:cs="Century Gothic"/>
          <w:sz w:val="22"/>
          <w:szCs w:val="22"/>
        </w:rPr>
      </w:pPr>
    </w:p>
    <w:p w14:paraId="327247E9" w14:textId="77777777" w:rsidR="00552271" w:rsidRPr="00D2146A" w:rsidRDefault="003F2C4A">
      <w:pPr>
        <w:numPr>
          <w:ilvl w:val="0"/>
          <w:numId w:val="1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Homicidio Agravado si se comete en los descendientes, artículo 103</w:t>
      </w:r>
    </w:p>
    <w:p w14:paraId="653D9733" w14:textId="77777777" w:rsidR="00552271" w:rsidRPr="00D2146A" w:rsidRDefault="003F2C4A">
      <w:pPr>
        <w:numPr>
          <w:ilvl w:val="0"/>
          <w:numId w:val="1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Feminicidio el cual se encuentra en el artículo 104ª, donde pueden ocurrir dos circunstancias:</w:t>
      </w:r>
    </w:p>
    <w:p w14:paraId="06DE6C67" w14:textId="77777777" w:rsidR="00552271" w:rsidRPr="00D2146A" w:rsidRDefault="003F2C4A">
      <w:pPr>
        <w:numPr>
          <w:ilvl w:val="0"/>
          <w:numId w:val="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Se aplica también si existía relación familiar o de convivencia con la víctima, y si antecedió violencia física, sexual, psicológica o patrimonial que antecedió el crimen contra ella.</w:t>
      </w:r>
    </w:p>
    <w:p w14:paraId="1DF15BF9" w14:textId="77777777" w:rsidR="00552271" w:rsidRPr="00D2146A" w:rsidRDefault="00552271">
      <w:pPr>
        <w:spacing w:line="259" w:lineRule="auto"/>
        <w:ind w:left="1080"/>
        <w:jc w:val="both"/>
        <w:rPr>
          <w:rFonts w:ascii="Gadugi" w:eastAsia="Century Gothic" w:hAnsi="Gadugi" w:cs="Century Gothic"/>
          <w:sz w:val="22"/>
          <w:szCs w:val="22"/>
        </w:rPr>
      </w:pPr>
    </w:p>
    <w:p w14:paraId="4F622DE8" w14:textId="77777777" w:rsidR="00552271" w:rsidRPr="00D2146A" w:rsidRDefault="003F2C4A">
      <w:pPr>
        <w:numPr>
          <w:ilvl w:val="0"/>
          <w:numId w:val="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Si existen antecedentes o indicios de cualquier tipo de violencia o amenaza en el ámbito doméstico o familiar, con independencia de que no se haya denunciado.</w:t>
      </w:r>
    </w:p>
    <w:p w14:paraId="0487FDF1" w14:textId="77777777" w:rsidR="00552271" w:rsidRPr="00D2146A" w:rsidRDefault="00552271">
      <w:pPr>
        <w:spacing w:line="259" w:lineRule="auto"/>
        <w:jc w:val="both"/>
        <w:rPr>
          <w:rFonts w:ascii="Gadugi" w:eastAsia="Century Gothic" w:hAnsi="Gadugi" w:cs="Century Gothic"/>
          <w:sz w:val="22"/>
          <w:szCs w:val="22"/>
        </w:rPr>
      </w:pPr>
    </w:p>
    <w:p w14:paraId="7025C62A"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Secuestro Agravado si se comete en menor de edad y si se ejecuta respecto de pariente hasta cuarto grado de consanguinidad, cuarto de afinidad o primero civil, sobre cónyuge o compañera o compañero permanente o contra cualquier persona que de manera permanente se hallare integrada a la unidad doméstica, establecido en el artículo 168.</w:t>
      </w:r>
    </w:p>
    <w:p w14:paraId="7492C9A8"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Tortura. Agravada si se ejecuta contra menor de edad, establecida en el artículo 178.</w:t>
      </w:r>
    </w:p>
    <w:p w14:paraId="7B252922" w14:textId="77777777" w:rsidR="00552271" w:rsidRPr="00D2146A" w:rsidRDefault="003F2C4A">
      <w:pPr>
        <w:numPr>
          <w:ilvl w:val="0"/>
          <w:numId w:val="16"/>
        </w:numPr>
        <w:spacing w:line="259" w:lineRule="auto"/>
        <w:jc w:val="both"/>
        <w:rPr>
          <w:rFonts w:ascii="Gadugi" w:eastAsia="Century Gothic" w:hAnsi="Gadugi" w:cs="Century Gothic"/>
          <w:sz w:val="22"/>
          <w:szCs w:val="22"/>
        </w:rPr>
      </w:pPr>
      <w:bookmarkStart w:id="25" w:name="_heading=h.3dy6vkm" w:colFirst="0" w:colLast="0"/>
      <w:bookmarkEnd w:id="25"/>
      <w:r w:rsidRPr="00D2146A">
        <w:rPr>
          <w:rFonts w:ascii="Gadugi" w:eastAsia="Century Gothic" w:hAnsi="Gadugi" w:cs="Century Gothic"/>
          <w:sz w:val="22"/>
          <w:szCs w:val="22"/>
        </w:rPr>
        <w:t xml:space="preserve">Trata de Personas. Agravado si la víctima es menor de edad, y si el responsable es pariente de la víctima hasta el tercer grado de consanguinidad, segundo de afinidad y primero civil, establecida en el artículo 188A. </w:t>
      </w:r>
    </w:p>
    <w:p w14:paraId="54FF3632"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Tráfico de niñas, niños y adolescentes. Agravado si la víctima es menor de edad, y si el responsable es pariente de la víctima hasta el tercer grado de consanguinidad, segundo de afinidad y primero civil, establecida en el artículo 188C.</w:t>
      </w:r>
    </w:p>
    <w:p w14:paraId="66870421"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Uso de menores de edad en la comisión de delitos. Agravado si la víctima es menor de edad, y si el responsable es pariente de la víctima hasta el tercer grado de consanguinidad, segundo de afinidad y primero civil, establecida en el artículo 188D.</w:t>
      </w:r>
    </w:p>
    <w:p w14:paraId="42BDAB85"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Violento, Agravado si la víctima es menor de edad, y si el responsable es pariente de la víctima hasta el cuarto grado de consanguinidad, cuarto de afinidad y primero civil, establecida en el artículo 205.</w:t>
      </w:r>
    </w:p>
    <w:p w14:paraId="54C1F321"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Acto Sexual Violento. Agravado si la víctima es menor de edad, y si el responsable es pariente de la víctima hasta el cuarto grado de consanguinidad, cuarto de afinidad y primero civil, establecida en el artículo 206.</w:t>
      </w:r>
    </w:p>
    <w:p w14:paraId="1DA81556"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o acto sexual en persona puesta en incapacidad de resistir. Agravada si la víctima es menor de edad, y si el responsable es pariente de la víctima hasta el cuarto grado de consanguinidad, cuarto de afinidad y primero civil, establecida en el artículo 207.</w:t>
      </w:r>
    </w:p>
    <w:p w14:paraId="4D87449E"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abusivo con menor de catorce años. Agravada si la víctima es menor de edad, y si el responsable es pariente de la víctima hasta el cuarto grado de consanguinidad, cuarto de afinidad y primero civil, establecida en el artículo 208.</w:t>
      </w:r>
    </w:p>
    <w:p w14:paraId="59602D99"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Inducción a la prostitución. Agravado si la víctima es pariente hasta cuarto grado de consanguinidad, cuarto de afinidad o primero civil, establecido artículo 213.</w:t>
      </w:r>
    </w:p>
    <w:p w14:paraId="0B92D0AC"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Proxenetismo con menor de edad. Agravado si la víctima es pariente hasta cuarto grado de consanguinidad, cuarto de afinidad o primero civil, establecido artículo 213A.</w:t>
      </w:r>
    </w:p>
    <w:p w14:paraId="57811957"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Constreñimiento a la prostitución. Agravado si la víctima es pariente hasta cuarto grado de consanguinidad, cuarto de afinidad o primero civil, establecido artículo 214.</w:t>
      </w:r>
    </w:p>
    <w:p w14:paraId="784AC517" w14:textId="77777777" w:rsidR="00552271" w:rsidRPr="00D2146A" w:rsidRDefault="003F2C4A">
      <w:pPr>
        <w:numPr>
          <w:ilvl w:val="0"/>
          <w:numId w:val="16"/>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Estímulo a la prostitución de menores. Agravado si el responsable hace parte de la familia</w:t>
      </w:r>
    </w:p>
    <w:p w14:paraId="6777EC67"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rPr>
        <w:t xml:space="preserve">Así pues, la respuesta jurídica mayormente conocida para la violencia familiar es el derecho penal. Según el artículo 229 del Código Penal, el delito de violencia intrafamiliar se configura cuando: “El que maltrate física o psicológicamente a cualquier miembro de su </w:t>
      </w:r>
      <w:r w:rsidRPr="00D2146A">
        <w:rPr>
          <w:rFonts w:ascii="Gadugi" w:eastAsia="Century Gothic" w:hAnsi="Gadugi" w:cs="Century Gothic"/>
          <w:sz w:val="22"/>
          <w:szCs w:val="22"/>
          <w:highlight w:val="white"/>
        </w:rPr>
        <w:t>núcleo familiar incurrirá, siempre que la conducta no constituya delito sancionado con pena mayor, en prisión de cuatro (4) a ocho (8) años.”</w:t>
      </w:r>
    </w:p>
    <w:p w14:paraId="7EB51EBB" w14:textId="77777777" w:rsidR="00552271" w:rsidRPr="00D2146A" w:rsidRDefault="00552271">
      <w:pPr>
        <w:jc w:val="both"/>
        <w:rPr>
          <w:rFonts w:ascii="Gadugi" w:eastAsia="Century Gothic" w:hAnsi="Gadugi" w:cs="Century Gothic"/>
          <w:sz w:val="22"/>
          <w:szCs w:val="22"/>
          <w:highlight w:val="white"/>
        </w:rPr>
      </w:pPr>
    </w:p>
    <w:p w14:paraId="0568DAAE"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Una vez se surte el proceso de investigación y judicialización penal y se resuelva con sentencia condenatoria, puede darse inicio al proceso de incidente de reparación integral de perjuicios. El incidente de reparación integral de perjuicios se encuentra regulado en el Código de Procedimiento Penal, del artículo 102 al 108. En estas disposiciones se aclara que procede con la sentencia condenatoria en firme y por solicitud expresa de la víctima, el fiscal o el Ministerio Público. Posterior a la solicitud del incidente, se surten tres pasos centrales correspondientes a la programación de la audiencia de reparación integral, celebración de las audiencias de incidente de reparación (se dará la palabra a ambas partes, se surte una etapa de conciliación, se presentarán los medios de prueba que quieran hacerse valer y el juez resuelve sobre la práctica de pruebas) y notificación del auto de sentencia. </w:t>
      </w:r>
    </w:p>
    <w:p w14:paraId="229A0AAC"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    </w:t>
      </w:r>
    </w:p>
    <w:p w14:paraId="0A982A93"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Si bien, el incidente de reparación integral de perjuicios tiene un procedimiento con mediana claridad en la ley de procedimiento penal, lo cierto es que esta herramienta es insuficiente para lograr la reparación integral de las víctimas de violencias de género u otras formas de violencia en el contexto familiar. Esto es así, no solo por el tiempo de duración del proceso penal, que puede extenderse hasta un año o más, de acuerdo con la diligencia del funcionario judicial</w:t>
      </w:r>
      <w:r w:rsidRPr="00D2146A">
        <w:rPr>
          <w:rFonts w:ascii="Gadugi" w:eastAsia="Century Gothic" w:hAnsi="Gadugi" w:cs="Century Gothic"/>
          <w:sz w:val="22"/>
          <w:szCs w:val="22"/>
          <w:highlight w:val="white"/>
          <w:vertAlign w:val="superscript"/>
        </w:rPr>
        <w:footnoteReference w:id="16"/>
      </w:r>
      <w:r w:rsidRPr="00D2146A">
        <w:rPr>
          <w:rFonts w:ascii="Gadugi" w:eastAsia="Century Gothic" w:hAnsi="Gadugi" w:cs="Century Gothic"/>
          <w:sz w:val="22"/>
          <w:szCs w:val="22"/>
          <w:highlight w:val="white"/>
        </w:rPr>
        <w:t xml:space="preserve">. </w:t>
      </w:r>
    </w:p>
    <w:p w14:paraId="0AA604D3" w14:textId="77777777" w:rsidR="00552271" w:rsidRPr="00D2146A" w:rsidRDefault="00552271">
      <w:pPr>
        <w:jc w:val="both"/>
        <w:rPr>
          <w:rFonts w:ascii="Gadugi" w:eastAsia="Century Gothic" w:hAnsi="Gadugi" w:cs="Century Gothic"/>
          <w:sz w:val="22"/>
          <w:szCs w:val="22"/>
          <w:highlight w:val="white"/>
        </w:rPr>
      </w:pPr>
    </w:p>
    <w:p w14:paraId="1E13C7B4"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Adicionalmente, durante la investigación, se remitió una petición al Consejo Superior de la Judicatura y la Fiscalía General de la Nación solicitando información sobre los resultados de los incidentes de reparación integral en los últimos 3 años. En la respuesta del Consejo Superior de la Judicatura entregaron información de acuerdo a la ley bajo la cual se surtió el incidente, en concreto, los procesos de la Ley 1098 de 2006, Ley 906 de 2004 y Ley 1826 de 2017. En términos generales, los procesos cobijados por la Ley 1098, de niños, niñas y adolescentes, presentan datos positivos respecto a los incidentes de reparación integral resueltos. Sin embargo, respecto a las otras dos leyes, que involucran a adultos, el promedio de los últimos tres años es que ingresaron más solicitudes de incidentes que aquellas que finalizaron con decisión judicial. Además, la mayoría de los procesos ingresan a los juzgados y quedan en despacho.</w:t>
      </w:r>
    </w:p>
    <w:p w14:paraId="77E10EF1" w14:textId="77777777" w:rsidR="00552271" w:rsidRPr="00D2146A" w:rsidRDefault="00552271">
      <w:pPr>
        <w:jc w:val="both"/>
        <w:rPr>
          <w:rFonts w:ascii="Gadugi" w:eastAsia="Century Gothic" w:hAnsi="Gadugi" w:cs="Century Gothic"/>
          <w:sz w:val="22"/>
          <w:szCs w:val="22"/>
          <w:highlight w:val="white"/>
        </w:rPr>
      </w:pPr>
    </w:p>
    <w:p w14:paraId="1007297E"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La información se resume en el siguiente cuadro: </w:t>
      </w:r>
    </w:p>
    <w:p w14:paraId="7DCF76A6" w14:textId="77777777" w:rsidR="00552271" w:rsidRPr="00D2146A" w:rsidRDefault="00552271">
      <w:pPr>
        <w:jc w:val="both"/>
        <w:rPr>
          <w:rFonts w:ascii="Gadugi" w:eastAsia="Arial" w:hAnsi="Gadugi" w:cs="Arial"/>
          <w:sz w:val="22"/>
          <w:szCs w:val="22"/>
          <w:highlight w:val="white"/>
        </w:rPr>
      </w:pPr>
    </w:p>
    <w:p w14:paraId="1B07C122" w14:textId="2460DEF0" w:rsidR="00552271" w:rsidRDefault="003F2C4A">
      <w:pPr>
        <w:jc w:val="center"/>
        <w:rPr>
          <w:rFonts w:ascii="Gadugi" w:eastAsia="Arial" w:hAnsi="Gadugi" w:cs="Arial"/>
          <w:sz w:val="22"/>
          <w:szCs w:val="22"/>
          <w:highlight w:val="white"/>
        </w:rPr>
      </w:pPr>
      <w:r w:rsidRPr="00D2146A">
        <w:rPr>
          <w:rFonts w:ascii="Gadugi" w:eastAsia="Arial" w:hAnsi="Gadugi" w:cs="Arial"/>
          <w:b/>
          <w:sz w:val="22"/>
          <w:szCs w:val="22"/>
          <w:highlight w:val="white"/>
        </w:rPr>
        <w:t>Cuadro No. 1. Información general sobre los incidentes de reparación integral 2020-2023</w:t>
      </w:r>
      <w:r w:rsidRPr="00D2146A">
        <w:rPr>
          <w:rFonts w:ascii="Gadugi" w:eastAsia="Arial" w:hAnsi="Gadugi" w:cs="Arial"/>
          <w:sz w:val="22"/>
          <w:szCs w:val="22"/>
          <w:highlight w:val="white"/>
        </w:rPr>
        <w:t xml:space="preserve"> </w:t>
      </w:r>
    </w:p>
    <w:p w14:paraId="3355687E" w14:textId="77777777" w:rsidR="008119B3" w:rsidRPr="00D2146A" w:rsidRDefault="008119B3">
      <w:pPr>
        <w:jc w:val="center"/>
        <w:rPr>
          <w:rFonts w:ascii="Gadugi" w:eastAsia="Arial" w:hAnsi="Gadugi" w:cs="Arial"/>
          <w:sz w:val="22"/>
          <w:szCs w:val="22"/>
          <w:highlight w:val="white"/>
        </w:rPr>
      </w:pPr>
    </w:p>
    <w:tbl>
      <w:tblPr>
        <w:tblStyle w:val="a"/>
        <w:tblW w:w="107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1276"/>
        <w:gridCol w:w="1980"/>
        <w:gridCol w:w="1650"/>
        <w:gridCol w:w="1575"/>
        <w:gridCol w:w="1470"/>
        <w:gridCol w:w="1688"/>
      </w:tblGrid>
      <w:tr w:rsidR="00552271" w:rsidRPr="00D2146A" w14:paraId="48F272D8" w14:textId="77777777" w:rsidTr="008119B3">
        <w:trPr>
          <w:jc w:val="center"/>
        </w:trPr>
        <w:tc>
          <w:tcPr>
            <w:tcW w:w="1135" w:type="dxa"/>
            <w:shd w:val="clear" w:color="auto" w:fill="auto"/>
            <w:tcMar>
              <w:top w:w="100" w:type="dxa"/>
              <w:left w:w="100" w:type="dxa"/>
              <w:bottom w:w="100" w:type="dxa"/>
              <w:right w:w="100" w:type="dxa"/>
            </w:tcMar>
          </w:tcPr>
          <w:p w14:paraId="1388EE86"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Año/Ley</w:t>
            </w:r>
          </w:p>
        </w:tc>
        <w:tc>
          <w:tcPr>
            <w:tcW w:w="1276" w:type="dxa"/>
            <w:shd w:val="clear" w:color="auto" w:fill="auto"/>
            <w:tcMar>
              <w:top w:w="100" w:type="dxa"/>
              <w:left w:w="100" w:type="dxa"/>
              <w:bottom w:w="100" w:type="dxa"/>
              <w:right w:w="100" w:type="dxa"/>
            </w:tcMar>
          </w:tcPr>
          <w:p w14:paraId="073354DD"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1098</w:t>
            </w:r>
          </w:p>
        </w:tc>
        <w:tc>
          <w:tcPr>
            <w:tcW w:w="1980" w:type="dxa"/>
            <w:shd w:val="clear" w:color="auto" w:fill="auto"/>
            <w:tcMar>
              <w:top w:w="100" w:type="dxa"/>
              <w:left w:w="100" w:type="dxa"/>
              <w:bottom w:w="100" w:type="dxa"/>
              <w:right w:w="100" w:type="dxa"/>
            </w:tcMar>
          </w:tcPr>
          <w:p w14:paraId="574B4F04"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c>
          <w:tcPr>
            <w:tcW w:w="1650" w:type="dxa"/>
            <w:shd w:val="clear" w:color="auto" w:fill="auto"/>
            <w:tcMar>
              <w:top w:w="100" w:type="dxa"/>
              <w:left w:w="100" w:type="dxa"/>
              <w:bottom w:w="100" w:type="dxa"/>
              <w:right w:w="100" w:type="dxa"/>
            </w:tcMar>
          </w:tcPr>
          <w:p w14:paraId="7F233726"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1826</w:t>
            </w:r>
          </w:p>
        </w:tc>
        <w:tc>
          <w:tcPr>
            <w:tcW w:w="1575" w:type="dxa"/>
            <w:shd w:val="clear" w:color="auto" w:fill="auto"/>
            <w:tcMar>
              <w:top w:w="100" w:type="dxa"/>
              <w:left w:w="100" w:type="dxa"/>
              <w:bottom w:w="100" w:type="dxa"/>
              <w:right w:w="100" w:type="dxa"/>
            </w:tcMar>
          </w:tcPr>
          <w:p w14:paraId="05079FD3"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c>
          <w:tcPr>
            <w:tcW w:w="1470" w:type="dxa"/>
            <w:shd w:val="clear" w:color="auto" w:fill="auto"/>
            <w:tcMar>
              <w:top w:w="100" w:type="dxa"/>
              <w:left w:w="100" w:type="dxa"/>
              <w:bottom w:w="100" w:type="dxa"/>
              <w:right w:w="100" w:type="dxa"/>
            </w:tcMar>
          </w:tcPr>
          <w:p w14:paraId="108B0E3D"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906</w:t>
            </w:r>
          </w:p>
        </w:tc>
        <w:tc>
          <w:tcPr>
            <w:tcW w:w="1688" w:type="dxa"/>
            <w:shd w:val="clear" w:color="auto" w:fill="auto"/>
            <w:tcMar>
              <w:top w:w="100" w:type="dxa"/>
              <w:left w:w="100" w:type="dxa"/>
              <w:bottom w:w="100" w:type="dxa"/>
              <w:right w:w="100" w:type="dxa"/>
            </w:tcMar>
          </w:tcPr>
          <w:p w14:paraId="41ADF08F"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r>
      <w:tr w:rsidR="00552271" w:rsidRPr="00D2146A" w14:paraId="37C68F6D" w14:textId="77777777" w:rsidTr="008119B3">
        <w:trPr>
          <w:jc w:val="center"/>
        </w:trPr>
        <w:tc>
          <w:tcPr>
            <w:tcW w:w="1135" w:type="dxa"/>
            <w:shd w:val="clear" w:color="auto" w:fill="auto"/>
            <w:tcMar>
              <w:top w:w="100" w:type="dxa"/>
              <w:left w:w="100" w:type="dxa"/>
              <w:bottom w:w="100" w:type="dxa"/>
              <w:right w:w="100" w:type="dxa"/>
            </w:tcMar>
          </w:tcPr>
          <w:p w14:paraId="182C9A98"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2020</w:t>
            </w:r>
          </w:p>
        </w:tc>
        <w:tc>
          <w:tcPr>
            <w:tcW w:w="1276" w:type="dxa"/>
            <w:shd w:val="clear" w:color="auto" w:fill="auto"/>
            <w:tcMar>
              <w:top w:w="100" w:type="dxa"/>
              <w:left w:w="100" w:type="dxa"/>
              <w:bottom w:w="100" w:type="dxa"/>
              <w:right w:w="100" w:type="dxa"/>
            </w:tcMar>
          </w:tcPr>
          <w:p w14:paraId="02336FB2"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w:t>
            </w:r>
            <w:r w:rsidRPr="00D2146A">
              <w:rPr>
                <w:rFonts w:ascii="Gadugi" w:eastAsia="Arial" w:hAnsi="Gadugi" w:cs="Arial"/>
                <w:sz w:val="18"/>
                <w:szCs w:val="18"/>
                <w:highlight w:val="white"/>
                <w:vertAlign w:val="superscript"/>
              </w:rPr>
              <w:footnoteReference w:id="17"/>
            </w:r>
            <w:r w:rsidRPr="00D2146A">
              <w:rPr>
                <w:rFonts w:ascii="Gadugi" w:eastAsia="Arial" w:hAnsi="Gadugi" w:cs="Arial"/>
                <w:sz w:val="18"/>
                <w:szCs w:val="18"/>
                <w:highlight w:val="white"/>
              </w:rPr>
              <w:t>: 2</w:t>
            </w:r>
          </w:p>
          <w:p w14:paraId="0A50B52B" w14:textId="77777777" w:rsidR="00552271" w:rsidRPr="00D2146A" w:rsidRDefault="00552271">
            <w:pPr>
              <w:widowControl w:val="0"/>
              <w:rPr>
                <w:rFonts w:ascii="Gadugi" w:eastAsia="Arial" w:hAnsi="Gadugi" w:cs="Arial"/>
                <w:sz w:val="18"/>
                <w:szCs w:val="18"/>
                <w:highlight w:val="white"/>
              </w:rPr>
            </w:pPr>
          </w:p>
          <w:p w14:paraId="5542DA42"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w:t>
            </w:r>
            <w:r w:rsidRPr="00D2146A">
              <w:rPr>
                <w:rFonts w:ascii="Gadugi" w:eastAsia="Arial" w:hAnsi="Gadugi" w:cs="Arial"/>
                <w:sz w:val="18"/>
                <w:szCs w:val="18"/>
                <w:highlight w:val="white"/>
                <w:vertAlign w:val="superscript"/>
              </w:rPr>
              <w:footnoteReference w:id="18"/>
            </w:r>
            <w:r w:rsidRPr="00D2146A">
              <w:rPr>
                <w:rFonts w:ascii="Gadugi" w:eastAsia="Arial" w:hAnsi="Gadugi" w:cs="Arial"/>
                <w:sz w:val="18"/>
                <w:szCs w:val="18"/>
                <w:highlight w:val="white"/>
              </w:rPr>
              <w:t>: 2</w:t>
            </w:r>
          </w:p>
          <w:p w14:paraId="00BC0A2F" w14:textId="77777777" w:rsidR="00552271" w:rsidRPr="00D2146A" w:rsidRDefault="00552271">
            <w:pPr>
              <w:widowControl w:val="0"/>
              <w:rPr>
                <w:rFonts w:ascii="Gadugi" w:eastAsia="Arial" w:hAnsi="Gadugi" w:cs="Arial"/>
                <w:sz w:val="18"/>
                <w:szCs w:val="18"/>
                <w:highlight w:val="white"/>
              </w:rPr>
            </w:pPr>
          </w:p>
          <w:p w14:paraId="48DF6D10"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w:t>
            </w:r>
            <w:r w:rsidRPr="00D2146A">
              <w:rPr>
                <w:rFonts w:ascii="Gadugi" w:eastAsia="Arial" w:hAnsi="Gadugi" w:cs="Arial"/>
                <w:sz w:val="18"/>
                <w:szCs w:val="18"/>
                <w:highlight w:val="white"/>
                <w:vertAlign w:val="superscript"/>
              </w:rPr>
              <w:footnoteReference w:id="19"/>
            </w:r>
            <w:r w:rsidRPr="00D2146A">
              <w:rPr>
                <w:rFonts w:ascii="Gadugi" w:eastAsia="Arial" w:hAnsi="Gadugi" w:cs="Arial"/>
                <w:sz w:val="18"/>
                <w:szCs w:val="18"/>
                <w:highlight w:val="white"/>
              </w:rPr>
              <w:t>: 0</w:t>
            </w:r>
          </w:p>
        </w:tc>
        <w:tc>
          <w:tcPr>
            <w:tcW w:w="1980" w:type="dxa"/>
            <w:shd w:val="clear" w:color="auto" w:fill="auto"/>
            <w:tcMar>
              <w:top w:w="100" w:type="dxa"/>
              <w:left w:w="100" w:type="dxa"/>
              <w:bottom w:w="100" w:type="dxa"/>
              <w:right w:w="100" w:type="dxa"/>
            </w:tcMar>
          </w:tcPr>
          <w:p w14:paraId="3E67DD4C" w14:textId="77777777" w:rsidR="00552271" w:rsidRPr="00D2146A" w:rsidRDefault="003F2C4A">
            <w:pPr>
              <w:widowControl w:val="0"/>
              <w:rPr>
                <w:rFonts w:ascii="Gadugi" w:eastAsia="Arial" w:hAnsi="Gadugi" w:cs="Arial"/>
                <w:sz w:val="18"/>
                <w:szCs w:val="18"/>
                <w:shd w:val="clear" w:color="auto" w:fill="B6D7A8"/>
              </w:rPr>
            </w:pPr>
            <w:r w:rsidRPr="00D2146A">
              <w:rPr>
                <w:rFonts w:ascii="Gadugi" w:eastAsia="Arial" w:hAnsi="Gadugi" w:cs="Arial"/>
                <w:sz w:val="18"/>
                <w:szCs w:val="18"/>
                <w:highlight w:val="white"/>
              </w:rPr>
              <w:t xml:space="preserve">Los 2 incidentes de NNA fueron resueltos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31A193C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38 </w:t>
            </w:r>
          </w:p>
          <w:p w14:paraId="1EAF646E" w14:textId="77777777" w:rsidR="00552271" w:rsidRPr="00D2146A" w:rsidRDefault="00552271">
            <w:pPr>
              <w:widowControl w:val="0"/>
              <w:rPr>
                <w:rFonts w:ascii="Gadugi" w:eastAsia="Arial" w:hAnsi="Gadugi" w:cs="Arial"/>
                <w:sz w:val="18"/>
                <w:szCs w:val="18"/>
                <w:highlight w:val="white"/>
              </w:rPr>
            </w:pPr>
          </w:p>
          <w:p w14:paraId="49ACA4B4"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19</w:t>
            </w:r>
          </w:p>
          <w:p w14:paraId="7F3777EF" w14:textId="77777777" w:rsidR="00552271" w:rsidRPr="00D2146A" w:rsidRDefault="00552271">
            <w:pPr>
              <w:widowControl w:val="0"/>
              <w:rPr>
                <w:rFonts w:ascii="Gadugi" w:eastAsia="Arial" w:hAnsi="Gadugi" w:cs="Arial"/>
                <w:sz w:val="18"/>
                <w:szCs w:val="18"/>
                <w:highlight w:val="white"/>
              </w:rPr>
            </w:pPr>
          </w:p>
          <w:p w14:paraId="0E01174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25</w:t>
            </w:r>
          </w:p>
        </w:tc>
        <w:tc>
          <w:tcPr>
            <w:tcW w:w="1575" w:type="dxa"/>
            <w:shd w:val="clear" w:color="auto" w:fill="auto"/>
            <w:tcMar>
              <w:top w:w="100" w:type="dxa"/>
              <w:left w:w="100" w:type="dxa"/>
              <w:bottom w:w="100" w:type="dxa"/>
              <w:right w:w="100" w:type="dxa"/>
            </w:tcMar>
          </w:tcPr>
          <w:p w14:paraId="5AE666E4"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y se mantuvieron más procesos en despacho, que los resueltos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40614D7"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134 </w:t>
            </w:r>
          </w:p>
          <w:p w14:paraId="085A580C" w14:textId="77777777" w:rsidR="00552271" w:rsidRPr="00D2146A" w:rsidRDefault="00552271" w:rsidP="00776625">
            <w:pPr>
              <w:widowControl w:val="0"/>
              <w:jc w:val="both"/>
              <w:rPr>
                <w:rFonts w:ascii="Gadugi" w:eastAsia="Arial" w:hAnsi="Gadugi" w:cs="Arial"/>
                <w:sz w:val="18"/>
                <w:szCs w:val="18"/>
                <w:highlight w:val="white"/>
              </w:rPr>
            </w:pPr>
          </w:p>
          <w:p w14:paraId="0CF072F8"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 122</w:t>
            </w:r>
          </w:p>
          <w:p w14:paraId="7F7746D1" w14:textId="77777777" w:rsidR="00552271" w:rsidRPr="00D2146A" w:rsidRDefault="00552271" w:rsidP="00776625">
            <w:pPr>
              <w:widowControl w:val="0"/>
              <w:jc w:val="both"/>
              <w:rPr>
                <w:rFonts w:ascii="Gadugi" w:eastAsia="Arial" w:hAnsi="Gadugi" w:cs="Arial"/>
                <w:sz w:val="18"/>
                <w:szCs w:val="18"/>
                <w:highlight w:val="white"/>
              </w:rPr>
            </w:pPr>
          </w:p>
          <w:p w14:paraId="1DE4BF02"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170</w:t>
            </w:r>
          </w:p>
        </w:tc>
        <w:tc>
          <w:tcPr>
            <w:tcW w:w="1688" w:type="dxa"/>
            <w:shd w:val="clear" w:color="auto" w:fill="auto"/>
            <w:tcMar>
              <w:top w:w="100" w:type="dxa"/>
              <w:left w:w="100" w:type="dxa"/>
              <w:bottom w:w="100" w:type="dxa"/>
              <w:right w:w="100" w:type="dxa"/>
            </w:tcMar>
          </w:tcPr>
          <w:p w14:paraId="6B806599"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y se mantuvieron más procesos en despacho, que los resueltos </w:t>
            </w:r>
            <w:r w:rsidRPr="00D2146A">
              <w:rPr>
                <w:rFonts w:ascii="Gadugi" w:eastAsia="Arial" w:hAnsi="Gadugi" w:cs="Arial"/>
                <w:sz w:val="18"/>
                <w:szCs w:val="18"/>
                <w:highlight w:val="red"/>
              </w:rPr>
              <w:t>(-)</w:t>
            </w:r>
          </w:p>
        </w:tc>
      </w:tr>
      <w:tr w:rsidR="00552271" w:rsidRPr="00D2146A" w14:paraId="3B13ED62" w14:textId="77777777" w:rsidTr="008119B3">
        <w:trPr>
          <w:jc w:val="center"/>
        </w:trPr>
        <w:tc>
          <w:tcPr>
            <w:tcW w:w="1135" w:type="dxa"/>
            <w:shd w:val="clear" w:color="auto" w:fill="auto"/>
            <w:tcMar>
              <w:top w:w="100" w:type="dxa"/>
              <w:left w:w="100" w:type="dxa"/>
              <w:bottom w:w="100" w:type="dxa"/>
              <w:right w:w="100" w:type="dxa"/>
            </w:tcMar>
          </w:tcPr>
          <w:p w14:paraId="5779115A"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2021</w:t>
            </w:r>
          </w:p>
        </w:tc>
        <w:tc>
          <w:tcPr>
            <w:tcW w:w="1276" w:type="dxa"/>
            <w:shd w:val="clear" w:color="auto" w:fill="auto"/>
            <w:tcMar>
              <w:top w:w="100" w:type="dxa"/>
              <w:left w:w="100" w:type="dxa"/>
              <w:bottom w:w="100" w:type="dxa"/>
              <w:right w:w="100" w:type="dxa"/>
            </w:tcMar>
          </w:tcPr>
          <w:p w14:paraId="5A9B91D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3</w:t>
            </w:r>
          </w:p>
          <w:p w14:paraId="1D36F7BE" w14:textId="77777777" w:rsidR="00552271" w:rsidRPr="00D2146A" w:rsidRDefault="00552271">
            <w:pPr>
              <w:widowControl w:val="0"/>
              <w:rPr>
                <w:rFonts w:ascii="Gadugi" w:eastAsia="Arial" w:hAnsi="Gadugi" w:cs="Arial"/>
                <w:sz w:val="18"/>
                <w:szCs w:val="18"/>
                <w:highlight w:val="white"/>
              </w:rPr>
            </w:pPr>
          </w:p>
          <w:p w14:paraId="60CAF98E"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2</w:t>
            </w:r>
          </w:p>
          <w:p w14:paraId="65D4AC01" w14:textId="77777777" w:rsidR="00552271" w:rsidRPr="00D2146A" w:rsidRDefault="00552271">
            <w:pPr>
              <w:widowControl w:val="0"/>
              <w:rPr>
                <w:rFonts w:ascii="Gadugi" w:eastAsia="Arial" w:hAnsi="Gadugi" w:cs="Arial"/>
                <w:sz w:val="18"/>
                <w:szCs w:val="18"/>
                <w:highlight w:val="white"/>
              </w:rPr>
            </w:pPr>
          </w:p>
          <w:p w14:paraId="2AD78006"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w:t>
            </w:r>
          </w:p>
        </w:tc>
        <w:tc>
          <w:tcPr>
            <w:tcW w:w="1980" w:type="dxa"/>
            <w:shd w:val="clear" w:color="auto" w:fill="auto"/>
            <w:tcMar>
              <w:top w:w="100" w:type="dxa"/>
              <w:left w:w="100" w:type="dxa"/>
              <w:bottom w:w="100" w:type="dxa"/>
              <w:right w:w="100" w:type="dxa"/>
            </w:tcMar>
          </w:tcPr>
          <w:p w14:paraId="285741F8" w14:textId="77777777" w:rsidR="00552271" w:rsidRPr="00D2146A" w:rsidRDefault="003F2C4A">
            <w:pPr>
              <w:widowControl w:val="0"/>
              <w:rPr>
                <w:rFonts w:ascii="Gadugi" w:eastAsia="Arial" w:hAnsi="Gadugi" w:cs="Arial"/>
                <w:sz w:val="18"/>
                <w:szCs w:val="18"/>
                <w:shd w:val="clear" w:color="auto" w:fill="B6D7A8"/>
              </w:rPr>
            </w:pPr>
            <w:r w:rsidRPr="00D2146A">
              <w:rPr>
                <w:rFonts w:ascii="Gadugi" w:eastAsia="Arial" w:hAnsi="Gadugi" w:cs="Arial"/>
                <w:sz w:val="18"/>
                <w:szCs w:val="18"/>
                <w:highlight w:val="white"/>
              </w:rPr>
              <w:t xml:space="preserve">De los 3 casos recibidos de NNA, se resolvieron 2 y se mantuvo uno en despacho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368A8E20"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94</w:t>
            </w:r>
          </w:p>
          <w:p w14:paraId="7C7B42F4" w14:textId="77777777" w:rsidR="00552271" w:rsidRPr="00D2146A" w:rsidRDefault="00552271">
            <w:pPr>
              <w:widowControl w:val="0"/>
              <w:rPr>
                <w:rFonts w:ascii="Gadugi" w:eastAsia="Arial" w:hAnsi="Gadugi" w:cs="Arial"/>
                <w:sz w:val="18"/>
                <w:szCs w:val="18"/>
                <w:highlight w:val="white"/>
              </w:rPr>
            </w:pPr>
          </w:p>
          <w:p w14:paraId="1FC488F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48</w:t>
            </w:r>
          </w:p>
          <w:p w14:paraId="51C77586" w14:textId="77777777" w:rsidR="00552271" w:rsidRPr="00D2146A" w:rsidRDefault="00552271">
            <w:pPr>
              <w:widowControl w:val="0"/>
              <w:rPr>
                <w:rFonts w:ascii="Gadugi" w:eastAsia="Arial" w:hAnsi="Gadugi" w:cs="Arial"/>
                <w:sz w:val="18"/>
                <w:szCs w:val="18"/>
                <w:highlight w:val="white"/>
              </w:rPr>
            </w:pPr>
          </w:p>
          <w:p w14:paraId="6BF470F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58</w:t>
            </w:r>
          </w:p>
        </w:tc>
        <w:tc>
          <w:tcPr>
            <w:tcW w:w="1575" w:type="dxa"/>
            <w:shd w:val="clear" w:color="auto" w:fill="auto"/>
            <w:tcMar>
              <w:top w:w="100" w:type="dxa"/>
              <w:left w:w="100" w:type="dxa"/>
              <w:bottom w:w="100" w:type="dxa"/>
              <w:right w:w="100" w:type="dxa"/>
            </w:tcMar>
          </w:tcPr>
          <w:p w14:paraId="1B9DB089"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que egresos y se mantuvieron más procesos en despacho, que los resueltos </w:t>
            </w:r>
            <w:r w:rsidRPr="00D2146A">
              <w:rPr>
                <w:rFonts w:ascii="Gadugi" w:eastAsia="Arial" w:hAnsi="Gadugi" w:cs="Arial"/>
                <w:sz w:val="18"/>
                <w:szCs w:val="18"/>
                <w:highlight w:val="red"/>
              </w:rPr>
              <w:t>(-)</w:t>
            </w:r>
            <w:r w:rsidR="00776625" w:rsidRPr="00D2146A">
              <w:rPr>
                <w:rFonts w:ascii="Gadugi" w:eastAsia="Arial" w:hAnsi="Gadugi" w:cs="Arial"/>
                <w:sz w:val="18"/>
                <w:szCs w:val="18"/>
                <w:highlight w:val="red"/>
              </w:rPr>
              <w:t xml:space="preserve"> </w:t>
            </w:r>
          </w:p>
        </w:tc>
        <w:tc>
          <w:tcPr>
            <w:tcW w:w="1470" w:type="dxa"/>
            <w:shd w:val="clear" w:color="auto" w:fill="auto"/>
            <w:tcMar>
              <w:top w:w="100" w:type="dxa"/>
              <w:left w:w="100" w:type="dxa"/>
              <w:bottom w:w="100" w:type="dxa"/>
              <w:right w:w="100" w:type="dxa"/>
            </w:tcMar>
          </w:tcPr>
          <w:p w14:paraId="0B8A294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98 </w:t>
            </w:r>
          </w:p>
          <w:p w14:paraId="4E5F24EC" w14:textId="77777777" w:rsidR="00552271" w:rsidRPr="00D2146A" w:rsidRDefault="00552271" w:rsidP="00776625">
            <w:pPr>
              <w:widowControl w:val="0"/>
              <w:jc w:val="both"/>
              <w:rPr>
                <w:rFonts w:ascii="Gadugi" w:eastAsia="Arial" w:hAnsi="Gadugi" w:cs="Arial"/>
                <w:sz w:val="18"/>
                <w:szCs w:val="18"/>
                <w:highlight w:val="white"/>
              </w:rPr>
            </w:pPr>
          </w:p>
          <w:p w14:paraId="3318432F"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Egresos:128</w:t>
            </w:r>
          </w:p>
          <w:p w14:paraId="44D6268F" w14:textId="77777777" w:rsidR="00552271" w:rsidRPr="00D2146A" w:rsidRDefault="00552271" w:rsidP="00776625">
            <w:pPr>
              <w:widowControl w:val="0"/>
              <w:jc w:val="both"/>
              <w:rPr>
                <w:rFonts w:ascii="Gadugi" w:eastAsia="Arial" w:hAnsi="Gadugi" w:cs="Arial"/>
                <w:sz w:val="18"/>
                <w:szCs w:val="18"/>
                <w:highlight w:val="white"/>
              </w:rPr>
            </w:pPr>
          </w:p>
          <w:p w14:paraId="66921689"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135</w:t>
            </w:r>
          </w:p>
        </w:tc>
        <w:tc>
          <w:tcPr>
            <w:tcW w:w="1688" w:type="dxa"/>
            <w:shd w:val="clear" w:color="auto" w:fill="auto"/>
            <w:tcMar>
              <w:top w:w="100" w:type="dxa"/>
              <w:left w:w="100" w:type="dxa"/>
              <w:bottom w:w="100" w:type="dxa"/>
              <w:right w:w="100" w:type="dxa"/>
            </w:tcMar>
          </w:tcPr>
          <w:p w14:paraId="0D7776C4"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Más egresos que ingresos, pero se mantienen en despacho una mayoría de casos </w:t>
            </w:r>
            <w:r w:rsidRPr="00D2146A">
              <w:rPr>
                <w:rFonts w:ascii="Gadugi" w:eastAsia="Arial" w:hAnsi="Gadugi" w:cs="Arial"/>
                <w:sz w:val="18"/>
                <w:szCs w:val="18"/>
                <w:highlight w:val="red"/>
              </w:rPr>
              <w:t>(-)</w:t>
            </w:r>
          </w:p>
        </w:tc>
      </w:tr>
      <w:tr w:rsidR="00552271" w:rsidRPr="00D2146A" w14:paraId="2183724B" w14:textId="77777777" w:rsidTr="008119B3">
        <w:trPr>
          <w:jc w:val="center"/>
        </w:trPr>
        <w:tc>
          <w:tcPr>
            <w:tcW w:w="1135" w:type="dxa"/>
            <w:shd w:val="clear" w:color="auto" w:fill="auto"/>
            <w:tcMar>
              <w:top w:w="100" w:type="dxa"/>
              <w:left w:w="100" w:type="dxa"/>
              <w:bottom w:w="100" w:type="dxa"/>
              <w:right w:w="100" w:type="dxa"/>
            </w:tcMar>
          </w:tcPr>
          <w:p w14:paraId="06869A94"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2022</w:t>
            </w:r>
          </w:p>
        </w:tc>
        <w:tc>
          <w:tcPr>
            <w:tcW w:w="1276" w:type="dxa"/>
            <w:shd w:val="clear" w:color="auto" w:fill="auto"/>
            <w:tcMar>
              <w:top w:w="100" w:type="dxa"/>
              <w:left w:w="100" w:type="dxa"/>
              <w:bottom w:w="100" w:type="dxa"/>
              <w:right w:w="100" w:type="dxa"/>
            </w:tcMar>
          </w:tcPr>
          <w:p w14:paraId="74E4C84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2</w:t>
            </w:r>
            <w:r w:rsidR="00776625" w:rsidRPr="00D2146A">
              <w:rPr>
                <w:rFonts w:ascii="Gadugi" w:eastAsia="Arial" w:hAnsi="Gadugi" w:cs="Arial"/>
                <w:sz w:val="18"/>
                <w:szCs w:val="18"/>
                <w:highlight w:val="white"/>
              </w:rPr>
              <w:br/>
            </w:r>
          </w:p>
          <w:p w14:paraId="07E5161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3</w:t>
            </w:r>
            <w:r w:rsidR="00776625" w:rsidRPr="00D2146A">
              <w:rPr>
                <w:rFonts w:ascii="Gadugi" w:eastAsia="Arial" w:hAnsi="Gadugi" w:cs="Arial"/>
                <w:sz w:val="18"/>
                <w:szCs w:val="18"/>
                <w:highlight w:val="white"/>
              </w:rPr>
              <w:br/>
            </w:r>
          </w:p>
          <w:p w14:paraId="7A8CCA83" w14:textId="77777777" w:rsidR="00552271" w:rsidRPr="00D2146A" w:rsidRDefault="003F2C4A" w:rsidP="00776625">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w:t>
            </w:r>
            <w:r w:rsidR="00776625" w:rsidRPr="00D2146A">
              <w:rPr>
                <w:rFonts w:ascii="Gadugi" w:eastAsia="Arial" w:hAnsi="Gadugi" w:cs="Arial"/>
                <w:sz w:val="18"/>
                <w:szCs w:val="18"/>
                <w:highlight w:val="white"/>
              </w:rPr>
              <w:t xml:space="preserve"> 0</w:t>
            </w:r>
          </w:p>
        </w:tc>
        <w:tc>
          <w:tcPr>
            <w:tcW w:w="1980" w:type="dxa"/>
            <w:shd w:val="clear" w:color="auto" w:fill="auto"/>
            <w:tcMar>
              <w:top w:w="100" w:type="dxa"/>
              <w:left w:w="100" w:type="dxa"/>
              <w:bottom w:w="100" w:type="dxa"/>
              <w:right w:w="100" w:type="dxa"/>
            </w:tcMar>
          </w:tcPr>
          <w:p w14:paraId="06420E36"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Los 2 incidentes de NNA fueron resueltos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2F27E29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155</w:t>
            </w:r>
          </w:p>
          <w:p w14:paraId="282CA4CE" w14:textId="77777777" w:rsidR="00552271" w:rsidRPr="00D2146A" w:rsidRDefault="00552271">
            <w:pPr>
              <w:widowControl w:val="0"/>
              <w:rPr>
                <w:rFonts w:ascii="Gadugi" w:eastAsia="Arial" w:hAnsi="Gadugi" w:cs="Arial"/>
                <w:sz w:val="18"/>
                <w:szCs w:val="18"/>
                <w:highlight w:val="white"/>
              </w:rPr>
            </w:pPr>
          </w:p>
          <w:p w14:paraId="53BB468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104</w:t>
            </w:r>
          </w:p>
          <w:p w14:paraId="528DA520" w14:textId="77777777" w:rsidR="00552271" w:rsidRPr="00D2146A" w:rsidRDefault="00552271">
            <w:pPr>
              <w:widowControl w:val="0"/>
              <w:rPr>
                <w:rFonts w:ascii="Gadugi" w:eastAsia="Arial" w:hAnsi="Gadugi" w:cs="Arial"/>
                <w:sz w:val="18"/>
                <w:szCs w:val="18"/>
                <w:highlight w:val="white"/>
              </w:rPr>
            </w:pPr>
          </w:p>
          <w:p w14:paraId="1F048EAC"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121</w:t>
            </w:r>
          </w:p>
        </w:tc>
        <w:tc>
          <w:tcPr>
            <w:tcW w:w="1575" w:type="dxa"/>
            <w:shd w:val="clear" w:color="auto" w:fill="auto"/>
            <w:tcMar>
              <w:top w:w="100" w:type="dxa"/>
              <w:left w:w="100" w:type="dxa"/>
              <w:bottom w:w="100" w:type="dxa"/>
              <w:right w:w="100" w:type="dxa"/>
            </w:tcMar>
          </w:tcPr>
          <w:p w14:paraId="0CE2325B"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En el marco de esta ley, se presentaron más ingresos que egresos y se mantuvieron más procesos en despacho, que los resueltos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CB286A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73 </w:t>
            </w:r>
          </w:p>
          <w:p w14:paraId="47E58ED6" w14:textId="77777777" w:rsidR="00552271" w:rsidRPr="00D2146A" w:rsidRDefault="00552271" w:rsidP="00776625">
            <w:pPr>
              <w:widowControl w:val="0"/>
              <w:jc w:val="both"/>
              <w:rPr>
                <w:rFonts w:ascii="Gadugi" w:eastAsia="Arial" w:hAnsi="Gadugi" w:cs="Arial"/>
                <w:sz w:val="18"/>
                <w:szCs w:val="18"/>
                <w:highlight w:val="white"/>
              </w:rPr>
            </w:pPr>
          </w:p>
          <w:p w14:paraId="4CA58879"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 83</w:t>
            </w:r>
          </w:p>
          <w:p w14:paraId="057176E8" w14:textId="77777777" w:rsidR="00552271" w:rsidRPr="00D2146A" w:rsidRDefault="00552271" w:rsidP="00776625">
            <w:pPr>
              <w:widowControl w:val="0"/>
              <w:jc w:val="both"/>
              <w:rPr>
                <w:rFonts w:ascii="Gadugi" w:eastAsia="Arial" w:hAnsi="Gadugi" w:cs="Arial"/>
                <w:sz w:val="18"/>
                <w:szCs w:val="18"/>
                <w:highlight w:val="white"/>
              </w:rPr>
            </w:pPr>
          </w:p>
          <w:p w14:paraId="6CEB59C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118</w:t>
            </w:r>
          </w:p>
        </w:tc>
        <w:tc>
          <w:tcPr>
            <w:tcW w:w="1688" w:type="dxa"/>
            <w:shd w:val="clear" w:color="auto" w:fill="auto"/>
            <w:tcMar>
              <w:top w:w="100" w:type="dxa"/>
              <w:left w:w="100" w:type="dxa"/>
              <w:bottom w:w="100" w:type="dxa"/>
              <w:right w:w="100" w:type="dxa"/>
            </w:tcMar>
          </w:tcPr>
          <w:p w14:paraId="1BE0FE2B"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Más egresos que ingresos, pero se mantienen en despacho una mayoría de casos </w:t>
            </w:r>
            <w:r w:rsidRPr="00D2146A">
              <w:rPr>
                <w:rFonts w:ascii="Gadugi" w:eastAsia="Arial" w:hAnsi="Gadugi" w:cs="Arial"/>
                <w:sz w:val="18"/>
                <w:szCs w:val="18"/>
                <w:highlight w:val="red"/>
              </w:rPr>
              <w:t xml:space="preserve">(-) </w:t>
            </w:r>
          </w:p>
        </w:tc>
      </w:tr>
      <w:tr w:rsidR="00552271" w:rsidRPr="00D2146A" w14:paraId="73E6341F" w14:textId="77777777" w:rsidTr="008119B3">
        <w:trPr>
          <w:jc w:val="center"/>
        </w:trPr>
        <w:tc>
          <w:tcPr>
            <w:tcW w:w="1135" w:type="dxa"/>
            <w:shd w:val="clear" w:color="auto" w:fill="auto"/>
            <w:tcMar>
              <w:top w:w="100" w:type="dxa"/>
              <w:left w:w="100" w:type="dxa"/>
              <w:bottom w:w="100" w:type="dxa"/>
              <w:right w:w="100" w:type="dxa"/>
            </w:tcMar>
          </w:tcPr>
          <w:p w14:paraId="4AC46357"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2023</w:t>
            </w:r>
          </w:p>
        </w:tc>
        <w:tc>
          <w:tcPr>
            <w:tcW w:w="1276" w:type="dxa"/>
            <w:shd w:val="clear" w:color="auto" w:fill="auto"/>
            <w:tcMar>
              <w:top w:w="100" w:type="dxa"/>
              <w:left w:w="100" w:type="dxa"/>
              <w:bottom w:w="100" w:type="dxa"/>
              <w:right w:w="100" w:type="dxa"/>
            </w:tcMar>
          </w:tcPr>
          <w:p w14:paraId="6B23CE0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N.A.</w:t>
            </w:r>
          </w:p>
          <w:p w14:paraId="57A2EE8E" w14:textId="77777777" w:rsidR="00552271" w:rsidRPr="00D2146A" w:rsidRDefault="00552271">
            <w:pPr>
              <w:widowControl w:val="0"/>
              <w:rPr>
                <w:rFonts w:ascii="Gadugi" w:eastAsia="Arial" w:hAnsi="Gadugi" w:cs="Arial"/>
                <w:sz w:val="18"/>
                <w:szCs w:val="18"/>
                <w:highlight w:val="white"/>
              </w:rPr>
            </w:pPr>
          </w:p>
          <w:p w14:paraId="20A6908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N.A.</w:t>
            </w:r>
          </w:p>
          <w:p w14:paraId="31038E2B" w14:textId="77777777" w:rsidR="00552271" w:rsidRPr="00D2146A" w:rsidRDefault="00552271">
            <w:pPr>
              <w:widowControl w:val="0"/>
              <w:rPr>
                <w:rFonts w:ascii="Gadugi" w:eastAsia="Arial" w:hAnsi="Gadugi" w:cs="Arial"/>
                <w:sz w:val="18"/>
                <w:szCs w:val="18"/>
                <w:highlight w:val="white"/>
              </w:rPr>
            </w:pPr>
          </w:p>
          <w:p w14:paraId="7071DC8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N.A.</w:t>
            </w:r>
          </w:p>
        </w:tc>
        <w:tc>
          <w:tcPr>
            <w:tcW w:w="1980" w:type="dxa"/>
            <w:shd w:val="clear" w:color="auto" w:fill="auto"/>
            <w:tcMar>
              <w:top w:w="100" w:type="dxa"/>
              <w:left w:w="100" w:type="dxa"/>
              <w:bottom w:w="100" w:type="dxa"/>
              <w:right w:w="100" w:type="dxa"/>
            </w:tcMar>
          </w:tcPr>
          <w:p w14:paraId="5B25861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N.A.</w:t>
            </w:r>
          </w:p>
        </w:tc>
        <w:tc>
          <w:tcPr>
            <w:tcW w:w="1650" w:type="dxa"/>
            <w:shd w:val="clear" w:color="auto" w:fill="auto"/>
            <w:tcMar>
              <w:top w:w="100" w:type="dxa"/>
              <w:left w:w="100" w:type="dxa"/>
              <w:bottom w:w="100" w:type="dxa"/>
              <w:right w:w="100" w:type="dxa"/>
            </w:tcMar>
          </w:tcPr>
          <w:p w14:paraId="499563B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161</w:t>
            </w:r>
          </w:p>
          <w:p w14:paraId="03202587" w14:textId="77777777" w:rsidR="00552271" w:rsidRPr="00D2146A" w:rsidRDefault="00552271">
            <w:pPr>
              <w:widowControl w:val="0"/>
              <w:rPr>
                <w:rFonts w:ascii="Gadugi" w:eastAsia="Arial" w:hAnsi="Gadugi" w:cs="Arial"/>
                <w:sz w:val="18"/>
                <w:szCs w:val="18"/>
                <w:highlight w:val="white"/>
              </w:rPr>
            </w:pPr>
          </w:p>
          <w:p w14:paraId="034C53AF"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118</w:t>
            </w:r>
          </w:p>
          <w:p w14:paraId="2233176D" w14:textId="77777777" w:rsidR="00552271" w:rsidRPr="00D2146A" w:rsidRDefault="00552271">
            <w:pPr>
              <w:widowControl w:val="0"/>
              <w:rPr>
                <w:rFonts w:ascii="Gadugi" w:eastAsia="Arial" w:hAnsi="Gadugi" w:cs="Arial"/>
                <w:sz w:val="18"/>
                <w:szCs w:val="18"/>
                <w:highlight w:val="white"/>
              </w:rPr>
            </w:pPr>
          </w:p>
          <w:p w14:paraId="1D16799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146</w:t>
            </w:r>
          </w:p>
        </w:tc>
        <w:tc>
          <w:tcPr>
            <w:tcW w:w="1575" w:type="dxa"/>
            <w:shd w:val="clear" w:color="auto" w:fill="auto"/>
            <w:tcMar>
              <w:top w:w="100" w:type="dxa"/>
              <w:left w:w="100" w:type="dxa"/>
              <w:bottom w:w="100" w:type="dxa"/>
              <w:right w:w="100" w:type="dxa"/>
            </w:tcMar>
          </w:tcPr>
          <w:p w14:paraId="0242CB7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Más ingresos que egresos. Y, se mantienen más de 100 procesos en despacho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783ECD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65</w:t>
            </w:r>
          </w:p>
          <w:p w14:paraId="7B20F94C" w14:textId="77777777" w:rsidR="00552271" w:rsidRPr="00D2146A" w:rsidRDefault="00552271">
            <w:pPr>
              <w:widowControl w:val="0"/>
              <w:rPr>
                <w:rFonts w:ascii="Gadugi" w:eastAsia="Arial" w:hAnsi="Gadugi" w:cs="Arial"/>
                <w:sz w:val="18"/>
                <w:szCs w:val="18"/>
                <w:highlight w:val="white"/>
              </w:rPr>
            </w:pPr>
          </w:p>
          <w:p w14:paraId="3B08D49E"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70</w:t>
            </w:r>
          </w:p>
          <w:p w14:paraId="5CD17C8D" w14:textId="77777777" w:rsidR="00552271" w:rsidRPr="00D2146A" w:rsidRDefault="00552271">
            <w:pPr>
              <w:widowControl w:val="0"/>
              <w:rPr>
                <w:rFonts w:ascii="Gadugi" w:eastAsia="Arial" w:hAnsi="Gadugi" w:cs="Arial"/>
                <w:sz w:val="18"/>
                <w:szCs w:val="18"/>
                <w:highlight w:val="white"/>
              </w:rPr>
            </w:pPr>
          </w:p>
          <w:p w14:paraId="6BA40E2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99</w:t>
            </w:r>
          </w:p>
        </w:tc>
        <w:tc>
          <w:tcPr>
            <w:tcW w:w="1688" w:type="dxa"/>
            <w:shd w:val="clear" w:color="auto" w:fill="auto"/>
            <w:tcMar>
              <w:top w:w="100" w:type="dxa"/>
              <w:left w:w="100" w:type="dxa"/>
              <w:bottom w:w="100" w:type="dxa"/>
              <w:right w:w="100" w:type="dxa"/>
            </w:tcMar>
          </w:tcPr>
          <w:p w14:paraId="0FC0D634"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Más egresos, que ingresos. Eso es bueno, pero se mantiene la mayoría en despacho </w:t>
            </w:r>
            <w:r w:rsidRPr="00D2146A">
              <w:rPr>
                <w:rFonts w:ascii="Gadugi" w:eastAsia="Arial" w:hAnsi="Gadugi" w:cs="Arial"/>
                <w:sz w:val="18"/>
                <w:szCs w:val="18"/>
                <w:highlight w:val="red"/>
              </w:rPr>
              <w:t>(-)</w:t>
            </w:r>
          </w:p>
        </w:tc>
      </w:tr>
    </w:tbl>
    <w:p w14:paraId="616A820B" w14:textId="77777777" w:rsidR="00552271" w:rsidRPr="00D2146A" w:rsidRDefault="00552271">
      <w:pPr>
        <w:jc w:val="both"/>
        <w:rPr>
          <w:rFonts w:ascii="Gadugi" w:eastAsia="Arial" w:hAnsi="Gadugi" w:cs="Arial"/>
          <w:b/>
          <w:sz w:val="22"/>
          <w:szCs w:val="22"/>
        </w:rPr>
      </w:pPr>
    </w:p>
    <w:p w14:paraId="4E0BD8B4"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ese sentido, aunque el incidente de reparación integral </w:t>
      </w:r>
      <w:r w:rsidRPr="00340AE5">
        <w:rPr>
          <w:rFonts w:ascii="Gadugi" w:eastAsia="Century Gothic" w:hAnsi="Gadugi" w:cs="Century Gothic"/>
          <w:sz w:val="22"/>
          <w:szCs w:val="22"/>
          <w:highlight w:val="white"/>
        </w:rPr>
        <w:t>de perjuicios</w:t>
      </w:r>
      <w:r w:rsidRPr="00340AE5">
        <w:rPr>
          <w:rFonts w:ascii="Gadugi" w:eastAsia="Century Gothic" w:hAnsi="Gadugi" w:cs="Century Gothic"/>
          <w:sz w:val="22"/>
          <w:szCs w:val="22"/>
        </w:rPr>
        <w:t xml:space="preserve"> sí tiene un alcance indemnizatorio y el mismo es aplicable en los procesos por violencia intrafamiliar, el mismo es una herramienta subordinada a un proceso con resultados poco efectivos y que sujeta el reparo de un daño a un proceso de naturaleza penal.  </w:t>
      </w:r>
    </w:p>
    <w:p w14:paraId="37856322" w14:textId="77777777" w:rsidR="00552271" w:rsidRPr="00340AE5" w:rsidRDefault="00552271">
      <w:pPr>
        <w:jc w:val="both"/>
        <w:rPr>
          <w:rFonts w:ascii="Gadugi" w:eastAsia="Century Gothic" w:hAnsi="Gadugi" w:cs="Century Gothic"/>
          <w:sz w:val="22"/>
          <w:szCs w:val="22"/>
        </w:rPr>
      </w:pPr>
    </w:p>
    <w:p w14:paraId="1338DEDB" w14:textId="6E96724D"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Entonces, si bien la víctima podrá acceder a la reparación de los daños, el hecho de que el incidente de reparación integral </w:t>
      </w:r>
      <w:r w:rsidRPr="00340AE5">
        <w:rPr>
          <w:rFonts w:ascii="Gadugi" w:eastAsia="Century Gothic" w:hAnsi="Gadugi" w:cs="Century Gothic"/>
          <w:sz w:val="22"/>
          <w:szCs w:val="22"/>
          <w:highlight w:val="white"/>
        </w:rPr>
        <w:t>de perjuicios</w:t>
      </w:r>
      <w:r w:rsidRPr="00340AE5">
        <w:rPr>
          <w:rFonts w:ascii="Gadugi" w:eastAsia="Century Gothic" w:hAnsi="Gadugi" w:cs="Century Gothic"/>
          <w:sz w:val="22"/>
          <w:szCs w:val="22"/>
        </w:rPr>
        <w:t xml:space="preserve"> pueda promoverse solo hasta la ejecutoria de la sentencia condenatoria conduce a un escenario de inmunidad parcial, pues la víctima tendrá que esperar el tiempo para agotar las dos instancias, y la casación, si ella hubiera lugar, para poder obtener una reparación de los daños. Ahora bien, dado que se afirma que la violencia intrafamiliar constituye también un ilícito civil, no resulta admisible condicionar la satisfacción del interés de la víctima al término del proceso penal.</w:t>
      </w:r>
    </w:p>
    <w:p w14:paraId="1CABED95" w14:textId="77777777" w:rsidR="008119B3" w:rsidRPr="00340AE5" w:rsidRDefault="008119B3">
      <w:pPr>
        <w:jc w:val="both"/>
        <w:rPr>
          <w:rFonts w:ascii="Gadugi" w:eastAsia="Century Gothic" w:hAnsi="Gadugi" w:cs="Century Gothic"/>
          <w:sz w:val="22"/>
          <w:szCs w:val="22"/>
        </w:rPr>
      </w:pPr>
    </w:p>
    <w:p w14:paraId="07CA2053"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Por consiguiente, el hecho de que la amenaza de daño se concrete en agresiones físicas, o que medie denuncia penal, no es más que una distorsión del sentido y del espíritu de lo establecido por la Constitución Política, concretamente el artículo 42 y el artículo 44, donde se busca que las relaciones familiares se desarrollen en armonía y que los niños vivan en un ambiente propicio para su desarrollo personal, por </w:t>
      </w:r>
      <w:proofErr w:type="gramStart"/>
      <w:r w:rsidRPr="00340AE5">
        <w:rPr>
          <w:rFonts w:ascii="Gadugi" w:eastAsia="Century Gothic" w:hAnsi="Gadugi" w:cs="Century Gothic"/>
          <w:sz w:val="22"/>
          <w:szCs w:val="22"/>
        </w:rPr>
        <w:t>ende</w:t>
      </w:r>
      <w:proofErr w:type="gramEnd"/>
      <w:r w:rsidRPr="00340AE5">
        <w:rPr>
          <w:rFonts w:ascii="Gadugi" w:eastAsia="Century Gothic" w:hAnsi="Gadugi" w:cs="Century Gothic"/>
          <w:sz w:val="22"/>
          <w:szCs w:val="22"/>
        </w:rPr>
        <w:t xml:space="preserve"> se busca proteger el derecho de una vida libre de violencia. </w:t>
      </w:r>
    </w:p>
    <w:p w14:paraId="7046BC6F" w14:textId="77777777" w:rsidR="00552271" w:rsidRPr="00340AE5" w:rsidRDefault="00552271">
      <w:pPr>
        <w:jc w:val="both"/>
        <w:rPr>
          <w:rFonts w:ascii="Gadugi" w:eastAsia="Century Gothic" w:hAnsi="Gadugi" w:cs="Century Gothic"/>
          <w:sz w:val="22"/>
          <w:szCs w:val="22"/>
        </w:rPr>
      </w:pPr>
    </w:p>
    <w:p w14:paraId="64B7D593"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pocas palabras, no se debe atar el derecho a la reparación integral por las violencias de género y otras formas de violencias en el contexto familiar a la activación del sistema penal, esto no solo por las particularidades de este proceso, sino también porque acudir al derecho penal y denunciar es una facultad de las víctimas y no debe ser una obligación para así obtener la reparación por los daños y perjuicios que se generaron. </w:t>
      </w:r>
    </w:p>
    <w:p w14:paraId="7B894DED" w14:textId="77777777" w:rsidR="00A72A7B" w:rsidRPr="00340AE5" w:rsidRDefault="00A72A7B" w:rsidP="00A72A7B">
      <w:pPr>
        <w:pBdr>
          <w:top w:val="nil"/>
          <w:left w:val="nil"/>
          <w:bottom w:val="nil"/>
          <w:right w:val="nil"/>
          <w:between w:val="nil"/>
        </w:pBdr>
        <w:spacing w:after="160" w:line="259" w:lineRule="auto"/>
        <w:jc w:val="both"/>
        <w:rPr>
          <w:rFonts w:ascii="Gadugi" w:eastAsia="Century Gothic" w:hAnsi="Gadugi" w:cs="Century Gothic"/>
          <w:sz w:val="22"/>
          <w:szCs w:val="22"/>
        </w:rPr>
      </w:pPr>
    </w:p>
    <w:p w14:paraId="5D7F8205" w14:textId="77777777" w:rsidR="00552271" w:rsidRPr="00340AE5" w:rsidRDefault="003F2C4A" w:rsidP="00A72A7B">
      <w:pPr>
        <w:pStyle w:val="Prrafodelista"/>
        <w:numPr>
          <w:ilvl w:val="1"/>
          <w:numId w:val="31"/>
        </w:numPr>
        <w:pBdr>
          <w:top w:val="nil"/>
          <w:left w:val="nil"/>
          <w:bottom w:val="nil"/>
          <w:right w:val="nil"/>
          <w:between w:val="nil"/>
        </w:pBdr>
        <w:spacing w:after="160" w:line="259" w:lineRule="auto"/>
        <w:jc w:val="both"/>
        <w:rPr>
          <w:rFonts w:ascii="Gadugi" w:eastAsia="Century Gothic" w:hAnsi="Gadugi" w:cs="Century Gothic"/>
          <w:b/>
          <w:color w:val="000000"/>
        </w:rPr>
      </w:pPr>
      <w:r w:rsidRPr="00340AE5">
        <w:rPr>
          <w:rFonts w:ascii="Gadugi" w:eastAsia="Century Gothic" w:hAnsi="Gadugi" w:cs="Century Gothic"/>
          <w:b/>
          <w:color w:val="000000"/>
        </w:rPr>
        <w:t>El vacío normativo en el derecho administrativo y de familia para reparar las violencias de género y violencias en el contexto familiar en los procesos de divorcio</w:t>
      </w:r>
    </w:p>
    <w:p w14:paraId="7FABDCA5" w14:textId="77777777" w:rsidR="00552271" w:rsidRPr="00340AE5" w:rsidRDefault="003F2C4A">
      <w:pPr>
        <w:numPr>
          <w:ilvl w:val="0"/>
          <w:numId w:val="8"/>
        </w:numPr>
        <w:spacing w:before="200" w:after="160" w:line="259" w:lineRule="auto"/>
        <w:jc w:val="both"/>
        <w:rPr>
          <w:rFonts w:ascii="Gadugi" w:eastAsia="Century Gothic" w:hAnsi="Gadugi" w:cs="Century Gothic"/>
          <w:b/>
          <w:sz w:val="22"/>
          <w:szCs w:val="22"/>
        </w:rPr>
      </w:pPr>
      <w:r w:rsidRPr="00340AE5">
        <w:rPr>
          <w:rFonts w:ascii="Gadugi" w:eastAsia="Century Gothic" w:hAnsi="Gadugi" w:cs="Century Gothic"/>
          <w:b/>
          <w:sz w:val="22"/>
          <w:szCs w:val="22"/>
        </w:rPr>
        <w:t>Las Comisarías de Familia y las violencias de género y otras formas de violencias en el contexto familiar:</w:t>
      </w:r>
    </w:p>
    <w:p w14:paraId="7F3C962E" w14:textId="77777777" w:rsidR="00552271" w:rsidRPr="00340AE5" w:rsidRDefault="003F2C4A">
      <w:pPr>
        <w:jc w:val="both"/>
        <w:rPr>
          <w:rFonts w:ascii="Gadugi" w:eastAsia="Century Gothic" w:hAnsi="Gadugi" w:cs="Century Gothic"/>
          <w:i/>
          <w:sz w:val="22"/>
          <w:szCs w:val="22"/>
        </w:rPr>
      </w:pPr>
      <w:r w:rsidRPr="00340AE5">
        <w:rPr>
          <w:rFonts w:ascii="Gadugi" w:eastAsia="Century Gothic" w:hAnsi="Gadugi" w:cs="Century Gothic"/>
          <w:sz w:val="22"/>
          <w:szCs w:val="22"/>
        </w:rPr>
        <w:t>La violencia intrafamiliar se trató por primera vez en la Ley 294 de 1996, donde como lo establece el artículo 1 su objeto fue desarrollar el inciso 5 del artículo 42 de la Constitución Política: “</w:t>
      </w:r>
      <w:r w:rsidRPr="00340AE5">
        <w:rPr>
          <w:rFonts w:ascii="Gadugi" w:eastAsia="Century Gothic" w:hAnsi="Gadugi" w:cs="Century Gothic"/>
          <w:i/>
          <w:sz w:val="22"/>
          <w:szCs w:val="22"/>
        </w:rPr>
        <w:t>Cualquier forma de violencia en la familia se considera destructiva de su armonía y unidad, y será sancionada conforme a la ley.”</w:t>
      </w:r>
    </w:p>
    <w:p w14:paraId="525A66CF" w14:textId="77777777" w:rsidR="00552271" w:rsidRPr="00340AE5" w:rsidRDefault="00552271">
      <w:pPr>
        <w:jc w:val="both"/>
        <w:rPr>
          <w:rFonts w:ascii="Gadugi" w:eastAsia="Century Gothic" w:hAnsi="Gadugi" w:cs="Century Gothic"/>
          <w:i/>
          <w:sz w:val="22"/>
          <w:szCs w:val="22"/>
        </w:rPr>
      </w:pPr>
    </w:p>
    <w:p w14:paraId="7126F607"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En relación con las conductas que pueden configurar violencia intrafamiliar, la Ley no ofrece mayores elementos, aunque la evolución de esta normativa puede dar luces acerca de la visión del legislador, donde por la relevancia que tenía y por los derechos afectados se buscó una sanción de tipo penal con el objetivo de proteger a todos los miembros de la familia, prestando especial atención a aquellos que están a aquellos que están en condiciones de indefensión.</w:t>
      </w:r>
    </w:p>
    <w:p w14:paraId="7EB95AC8" w14:textId="77777777" w:rsidR="00552271" w:rsidRPr="00340AE5" w:rsidRDefault="00552271">
      <w:pPr>
        <w:jc w:val="both"/>
        <w:rPr>
          <w:rFonts w:ascii="Gadugi" w:eastAsia="Century Gothic" w:hAnsi="Gadugi" w:cs="Century Gothic"/>
          <w:sz w:val="22"/>
          <w:szCs w:val="22"/>
        </w:rPr>
      </w:pPr>
    </w:p>
    <w:p w14:paraId="27DCAEC2"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Teniendo en cuenta que la violencia intrafamiliar es todo acto de daños ocasionado por los miembros del núcleo familiar que habla el artículo 2 de la Ley 294 de 1996, el legislador excluyó la posibilidad de reclamar la indemnización en la Ley 575 del 2000 porque modificó el literal e del artículo 5 de la Ley 294 de 1996, donde estableció:</w:t>
      </w:r>
    </w:p>
    <w:p w14:paraId="582904F1" w14:textId="77777777" w:rsidR="00552271" w:rsidRPr="00340AE5" w:rsidRDefault="00552271">
      <w:pPr>
        <w:jc w:val="both"/>
        <w:rPr>
          <w:rFonts w:ascii="Gadugi" w:eastAsia="Century Gothic" w:hAnsi="Gadugi" w:cs="Century Gothic"/>
          <w:sz w:val="22"/>
          <w:szCs w:val="22"/>
        </w:rPr>
      </w:pPr>
    </w:p>
    <w:p w14:paraId="38AF81CB" w14:textId="77777777" w:rsidR="00552271" w:rsidRPr="00340AE5" w:rsidRDefault="003F2C4A" w:rsidP="00D2146A">
      <w:pPr>
        <w:ind w:left="708" w:right="902"/>
        <w:jc w:val="both"/>
        <w:rPr>
          <w:rFonts w:ascii="Gadugi" w:eastAsia="Century Gothic" w:hAnsi="Gadugi" w:cs="Century Gothic"/>
          <w:i/>
          <w:sz w:val="22"/>
          <w:szCs w:val="22"/>
        </w:rPr>
      </w:pPr>
      <w:bookmarkStart w:id="26" w:name="_heading=h.tyjcwt" w:colFirst="0" w:colLast="0"/>
      <w:bookmarkEnd w:id="26"/>
      <w:r w:rsidRPr="00340AE5">
        <w:rPr>
          <w:rFonts w:ascii="Gadugi" w:eastAsia="Century Gothic" w:hAnsi="Gadugi" w:cs="Century Gothic"/>
          <w:i/>
          <w:sz w:val="22"/>
          <w:szCs w:val="22"/>
        </w:rPr>
        <w:t>Si la autoridad competente determina que el solicitante o un miembro del núcleo familiar ha sido víctima de violencia, emitirá mediante providencia motivada una medida definitiva de protección, en la cual ordenará al agresor abstenerse de realizar la conducta objeto de la queja, o cualquier otra similar contra la persona ofendida u otro miembro del núcleo familiar. El funcionario podrá imponer, además, según el caso, las siguientes medidas, sin perjuicio de las establecidas en el artículo 18* de la presente ley:</w:t>
      </w:r>
    </w:p>
    <w:p w14:paraId="40132655" w14:textId="77777777" w:rsidR="00552271" w:rsidRPr="00340AE5" w:rsidRDefault="00552271" w:rsidP="00D2146A">
      <w:pPr>
        <w:ind w:left="708" w:right="902"/>
        <w:jc w:val="both"/>
        <w:rPr>
          <w:rFonts w:ascii="Gadugi" w:eastAsia="Century Gothic" w:hAnsi="Gadugi" w:cs="Century Gothic"/>
          <w:i/>
          <w:sz w:val="22"/>
          <w:szCs w:val="22"/>
        </w:rPr>
      </w:pPr>
    </w:p>
    <w:p w14:paraId="39B25FB3" w14:textId="77777777" w:rsidR="00552271" w:rsidRPr="00340AE5" w:rsidRDefault="003F2C4A" w:rsidP="00D2146A">
      <w:pPr>
        <w:ind w:left="708" w:right="902"/>
        <w:jc w:val="both"/>
        <w:rPr>
          <w:rFonts w:ascii="Gadugi" w:eastAsia="Century Gothic" w:hAnsi="Gadugi" w:cs="Century Gothic"/>
          <w:i/>
          <w:sz w:val="22"/>
          <w:szCs w:val="22"/>
        </w:rPr>
      </w:pPr>
      <w:r w:rsidRPr="00340AE5">
        <w:rPr>
          <w:rFonts w:ascii="Gadugi" w:eastAsia="Century Gothic" w:hAnsi="Gadugi" w:cs="Century Gothic"/>
          <w:i/>
          <w:sz w:val="22"/>
          <w:szCs w:val="22"/>
          <w:u w:val="single"/>
        </w:rPr>
        <w:t>Si fuere necesario, se ordenará al agresor el pago de los gastos de orientación y asesoría jurídica, médica, psicológica y psíquica que requiera la víctima, así como de los servicios, procedimientos, intervenciones y tratamientos médicos y psicológicos</w:t>
      </w:r>
      <w:r w:rsidRPr="00340AE5">
        <w:rPr>
          <w:rFonts w:ascii="Gadugi" w:eastAsia="Century Gothic" w:hAnsi="Gadugi" w:cs="Century Gothic"/>
          <w:i/>
          <w:sz w:val="22"/>
          <w:szCs w:val="22"/>
        </w:rPr>
        <w:t>;</w:t>
      </w:r>
    </w:p>
    <w:p w14:paraId="0B0E212F" w14:textId="77777777" w:rsidR="00552271" w:rsidRPr="00340AE5" w:rsidRDefault="00552271">
      <w:pPr>
        <w:ind w:left="708"/>
        <w:jc w:val="both"/>
        <w:rPr>
          <w:rFonts w:ascii="Gadugi" w:eastAsia="Century Gothic" w:hAnsi="Gadugi" w:cs="Century Gothic"/>
          <w:i/>
          <w:sz w:val="22"/>
          <w:szCs w:val="22"/>
        </w:rPr>
      </w:pPr>
    </w:p>
    <w:p w14:paraId="381BC2AB"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En virtud de lo anterior, se puede inferir que el legislador excluyó el reconocimiento del daño generado por las violencias de género y otras violencias en el contexto de familia. Esto trae como consecuencia que el agresor se sustraiga de la obligación derivada del principio de no causar daños a terceros, en caso que se verifique el hecho violento, a la víctima asumir de su propio patrimonio los gastos en que incurra en la atención médica o incluso que no la reciba, porque puede darse la posibilidad que se trate de formas de violencia veladas o que no requieran de inmediato atención médica, como en la violencia económica o psicológica.</w:t>
      </w:r>
    </w:p>
    <w:p w14:paraId="1C07F59C"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Ahora bien, en la Ley 2126 de 2021 por la cual se regula la creación, conformación y funcionamiento de las Comisarias de Familia, se establece el órgano rector y se dictan otras disposiciones, aunque reconoce -de forma necesaria- las violencias en el contexto familiar y señala la obligación de reparar en al menos 7 artículos, no se señala de forma alguna cómo se materializa dicha reparación o indemnización para las víctimas de estas violencias. </w:t>
      </w:r>
    </w:p>
    <w:p w14:paraId="78663331"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En ese sentido, desde este enfoque tampoco se encuentra una respuesta concreta para la indemnización de las violencias de género u otras violencias en el contexto familiar.</w:t>
      </w:r>
    </w:p>
    <w:p w14:paraId="03C6D09F" w14:textId="77777777" w:rsidR="00552271" w:rsidRPr="00340AE5" w:rsidRDefault="00552271">
      <w:pPr>
        <w:jc w:val="both"/>
        <w:rPr>
          <w:rFonts w:ascii="Gadugi" w:eastAsia="Century Gothic" w:hAnsi="Gadugi" w:cs="Century Gothic"/>
          <w:sz w:val="22"/>
          <w:szCs w:val="22"/>
        </w:rPr>
      </w:pPr>
    </w:p>
    <w:p w14:paraId="7D3E13F0" w14:textId="77777777" w:rsidR="00552271" w:rsidRPr="00340AE5" w:rsidRDefault="003F2C4A">
      <w:pPr>
        <w:numPr>
          <w:ilvl w:val="0"/>
          <w:numId w:val="8"/>
        </w:numPr>
        <w:spacing w:after="160" w:line="259" w:lineRule="auto"/>
        <w:jc w:val="both"/>
        <w:rPr>
          <w:rFonts w:ascii="Gadugi" w:eastAsia="Century Gothic" w:hAnsi="Gadugi" w:cs="Century Gothic"/>
          <w:b/>
          <w:sz w:val="22"/>
          <w:szCs w:val="22"/>
        </w:rPr>
      </w:pPr>
      <w:r w:rsidRPr="00340AE5">
        <w:rPr>
          <w:rFonts w:ascii="Gadugi" w:eastAsia="Century Gothic" w:hAnsi="Gadugi" w:cs="Century Gothic"/>
          <w:b/>
          <w:sz w:val="22"/>
          <w:szCs w:val="22"/>
        </w:rPr>
        <w:t>El derecho de familia y las violencias de género y otras formas de violencias en el contexto familiar:</w:t>
      </w:r>
    </w:p>
    <w:p w14:paraId="518FD686"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el derecho de familia, tal como lo han reconocido la Corte Constitucional y Corte Suprema de Justicia, existe igualmente un vacío para atender las violencias de género u otras violencias en el contexto familiar. En el código civil, se reglamenta de forma clara la figura del matrimonio y las modalidades para la disolución del mismo. En concreto, en cuanto al divorcio se establece en el artículo 154 las causales, a saber: </w:t>
      </w:r>
    </w:p>
    <w:p w14:paraId="1625A1BB" w14:textId="77777777" w:rsidR="00552271" w:rsidRPr="00340AE5" w:rsidRDefault="003F2C4A" w:rsidP="00C14DAE">
      <w:pPr>
        <w:spacing w:before="180" w:after="180"/>
        <w:ind w:firstLine="720"/>
        <w:jc w:val="both"/>
        <w:rPr>
          <w:rFonts w:ascii="Gadugi" w:eastAsia="Century Gothic" w:hAnsi="Gadugi" w:cs="Century Gothic"/>
          <w:i/>
          <w:sz w:val="22"/>
          <w:szCs w:val="22"/>
        </w:rPr>
      </w:pPr>
      <w:r w:rsidRPr="00340AE5">
        <w:rPr>
          <w:rFonts w:ascii="Gadugi" w:eastAsia="Century Gothic" w:hAnsi="Gadugi" w:cs="Century Gothic"/>
          <w:b/>
          <w:i/>
          <w:sz w:val="22"/>
          <w:szCs w:val="22"/>
        </w:rPr>
        <w:t>“ARTÍCULO 154. &lt;CAUSALES DE DIVORCIO&gt;.</w:t>
      </w:r>
      <w:r w:rsidRPr="00340AE5">
        <w:rPr>
          <w:rFonts w:ascii="Gadugi" w:eastAsia="Century Gothic" w:hAnsi="Gadugi" w:cs="Century Gothic"/>
          <w:i/>
          <w:sz w:val="22"/>
          <w:szCs w:val="22"/>
        </w:rPr>
        <w:t xml:space="preserve"> Son causales de divorcio:</w:t>
      </w:r>
    </w:p>
    <w:p w14:paraId="3CBA4E9D" w14:textId="77777777" w:rsidR="00552271" w:rsidRPr="00340AE5" w:rsidRDefault="003F2C4A" w:rsidP="00C14DAE">
      <w:pPr>
        <w:spacing w:before="180" w:after="180"/>
        <w:ind w:left="567" w:right="618"/>
        <w:jc w:val="both"/>
        <w:rPr>
          <w:rFonts w:ascii="Gadugi" w:eastAsia="Century Gothic" w:hAnsi="Gadugi" w:cs="Century Gothic"/>
          <w:i/>
          <w:sz w:val="22"/>
          <w:szCs w:val="22"/>
          <w:shd w:val="clear" w:color="auto" w:fill="E6E6E6"/>
        </w:rPr>
      </w:pPr>
      <w:r w:rsidRPr="00340AE5">
        <w:rPr>
          <w:rFonts w:ascii="Gadugi" w:eastAsia="Century Gothic" w:hAnsi="Gadugi" w:cs="Century Gothic"/>
          <w:i/>
          <w:sz w:val="22"/>
          <w:szCs w:val="22"/>
        </w:rPr>
        <w:t xml:space="preserve">1. Las relaciones sexuales extramatrimoniales de uno de los cónyuges, </w:t>
      </w:r>
    </w:p>
    <w:p w14:paraId="5266A20B" w14:textId="77777777" w:rsidR="00552271" w:rsidRPr="00340AE5" w:rsidRDefault="003F2C4A" w:rsidP="00C14DAE">
      <w:pPr>
        <w:spacing w:before="180" w:after="180"/>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2. El grave e injustificado incumplimiento por parte de alguno de los cónyuges de los deberes que la ley les impone como tales y como padres.</w:t>
      </w:r>
    </w:p>
    <w:p w14:paraId="46636500" w14:textId="77777777" w:rsidR="00552271" w:rsidRPr="00340AE5" w:rsidRDefault="003F2C4A" w:rsidP="00C14DAE">
      <w:pPr>
        <w:spacing w:before="180" w:after="180"/>
        <w:ind w:left="567" w:right="618"/>
        <w:jc w:val="both"/>
        <w:rPr>
          <w:rFonts w:ascii="Gadugi" w:eastAsia="Century Gothic" w:hAnsi="Gadugi" w:cs="Century Gothic"/>
          <w:i/>
          <w:sz w:val="22"/>
          <w:szCs w:val="22"/>
          <w:u w:val="single"/>
        </w:rPr>
      </w:pPr>
      <w:r w:rsidRPr="00340AE5">
        <w:rPr>
          <w:rFonts w:ascii="Gadugi" w:eastAsia="Century Gothic" w:hAnsi="Gadugi" w:cs="Century Gothic"/>
          <w:i/>
          <w:sz w:val="22"/>
          <w:szCs w:val="22"/>
          <w:u w:val="single"/>
        </w:rPr>
        <w:t>3. Los ultrajes, el trato cruel y los maltratamientos de obra.</w:t>
      </w:r>
    </w:p>
    <w:p w14:paraId="6E268524" w14:textId="77777777" w:rsidR="00552271" w:rsidRPr="00340AE5" w:rsidRDefault="003F2C4A" w:rsidP="00C14DAE">
      <w:pPr>
        <w:spacing w:before="180" w:after="180"/>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4. La embriaguez habitual de uno de los cónyuges.</w:t>
      </w:r>
    </w:p>
    <w:p w14:paraId="56CEB59B" w14:textId="77777777" w:rsidR="00552271" w:rsidRPr="00340AE5" w:rsidRDefault="003F2C4A" w:rsidP="00C14DAE">
      <w:pPr>
        <w:spacing w:before="180" w:after="180"/>
        <w:ind w:left="567" w:right="618"/>
        <w:jc w:val="both"/>
        <w:rPr>
          <w:rFonts w:ascii="Gadugi" w:eastAsia="Century Gothic" w:hAnsi="Gadugi" w:cs="Century Gothic"/>
          <w:i/>
          <w:sz w:val="22"/>
          <w:szCs w:val="22"/>
          <w:shd w:val="clear" w:color="auto" w:fill="E6E6E6"/>
        </w:rPr>
      </w:pPr>
      <w:r w:rsidRPr="00340AE5">
        <w:rPr>
          <w:rFonts w:ascii="Gadugi" w:eastAsia="Century Gothic" w:hAnsi="Gadugi" w:cs="Century Gothic"/>
          <w:i/>
          <w:sz w:val="22"/>
          <w:szCs w:val="22"/>
        </w:rPr>
        <w:t>5. El uso habitual de sustancias alucinógenas o estupefacientes, salvo prescripción médica.</w:t>
      </w:r>
    </w:p>
    <w:p w14:paraId="5319DB24" w14:textId="77777777" w:rsidR="00552271" w:rsidRPr="00340AE5" w:rsidRDefault="003F2C4A" w:rsidP="00C14DAE">
      <w:pPr>
        <w:spacing w:before="180" w:after="180"/>
        <w:ind w:left="567" w:right="618"/>
        <w:jc w:val="both"/>
        <w:rPr>
          <w:rFonts w:ascii="Gadugi" w:eastAsia="Century Gothic" w:hAnsi="Gadugi" w:cs="Century Gothic"/>
          <w:i/>
          <w:sz w:val="22"/>
          <w:szCs w:val="22"/>
          <w:shd w:val="clear" w:color="auto" w:fill="E6E6E6"/>
        </w:rPr>
      </w:pPr>
      <w:r w:rsidRPr="00340AE5">
        <w:rPr>
          <w:rFonts w:ascii="Gadugi" w:eastAsia="Century Gothic" w:hAnsi="Gadugi" w:cs="Century Gothic"/>
          <w:i/>
          <w:sz w:val="22"/>
          <w:szCs w:val="22"/>
        </w:rPr>
        <w:t>6. Toda enfermedad o anormalidad grave e incurable, física o síquica, de uno de los cónyuges, que ponga en peligro la salud mental o física del otro cónyuge e imposibilite la comunidad matrimonial.</w:t>
      </w:r>
    </w:p>
    <w:p w14:paraId="21F8DA22" w14:textId="77777777" w:rsidR="00552271" w:rsidRPr="00340AE5" w:rsidRDefault="003F2C4A" w:rsidP="00C14DAE">
      <w:pPr>
        <w:spacing w:before="180" w:after="180"/>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7. Toda conducta de uno de los cónyuges tendientes a corromper o pervertir al otro, a un descendiente, o a personas que estén a su cuidado y convivan bajo el mismo techo.</w:t>
      </w:r>
    </w:p>
    <w:p w14:paraId="62D50CF6" w14:textId="77777777" w:rsidR="00552271" w:rsidRPr="00340AE5" w:rsidRDefault="003F2C4A" w:rsidP="00C14DAE">
      <w:pPr>
        <w:spacing w:before="180" w:after="180"/>
        <w:ind w:left="567" w:right="618"/>
        <w:jc w:val="both"/>
        <w:rPr>
          <w:rFonts w:ascii="Gadugi" w:eastAsia="Century Gothic" w:hAnsi="Gadugi" w:cs="Century Gothic"/>
          <w:i/>
          <w:sz w:val="22"/>
          <w:szCs w:val="22"/>
          <w:shd w:val="clear" w:color="auto" w:fill="E6E6E6"/>
        </w:rPr>
      </w:pPr>
      <w:r w:rsidRPr="00340AE5">
        <w:rPr>
          <w:rFonts w:ascii="Gadugi" w:eastAsia="Century Gothic" w:hAnsi="Gadugi" w:cs="Century Gothic"/>
          <w:i/>
          <w:sz w:val="22"/>
          <w:szCs w:val="22"/>
        </w:rPr>
        <w:t xml:space="preserve">8. La separación de cuerpos, judicial </w:t>
      </w:r>
      <w:proofErr w:type="gramStart"/>
      <w:r w:rsidRPr="00340AE5">
        <w:rPr>
          <w:rFonts w:ascii="Gadugi" w:eastAsia="Century Gothic" w:hAnsi="Gadugi" w:cs="Century Gothic"/>
          <w:i/>
          <w:sz w:val="22"/>
          <w:szCs w:val="22"/>
        </w:rPr>
        <w:t>o</w:t>
      </w:r>
      <w:proofErr w:type="gramEnd"/>
      <w:r w:rsidRPr="00340AE5">
        <w:rPr>
          <w:rFonts w:ascii="Gadugi" w:eastAsia="Century Gothic" w:hAnsi="Gadugi" w:cs="Century Gothic"/>
          <w:i/>
          <w:sz w:val="22"/>
          <w:szCs w:val="22"/>
        </w:rPr>
        <w:t xml:space="preserve"> de hecho, que haya perdurado por más de dos años.</w:t>
      </w:r>
    </w:p>
    <w:p w14:paraId="225F2591" w14:textId="77777777" w:rsidR="00552271" w:rsidRPr="00340AE5" w:rsidRDefault="003F2C4A" w:rsidP="00C14DAE">
      <w:pPr>
        <w:spacing w:before="180" w:after="180"/>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9. El consentimiento de ambos cónyuges manifestado ante juez competente y reconocido por éste mediante sentencia.”</w:t>
      </w:r>
    </w:p>
    <w:p w14:paraId="3730EA3E"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ese sentido, la tercera causal corresponde </w:t>
      </w:r>
      <w:r w:rsidRPr="00340AE5">
        <w:rPr>
          <w:rFonts w:ascii="Gadugi" w:eastAsia="Century Gothic" w:hAnsi="Gadugi" w:cs="Century Gothic"/>
          <w:b/>
          <w:sz w:val="22"/>
          <w:szCs w:val="22"/>
        </w:rPr>
        <w:t>a las violencias de género y otras formas de violencia en el contexto familiar.</w:t>
      </w:r>
      <w:r w:rsidRPr="00340AE5">
        <w:rPr>
          <w:rFonts w:ascii="Gadugi" w:eastAsia="Century Gothic" w:hAnsi="Gadugi" w:cs="Century Gothic"/>
          <w:sz w:val="22"/>
          <w:szCs w:val="22"/>
        </w:rPr>
        <w:t xml:space="preserve"> En el mismo código civil, establecen los efectos del divorcio y se indica que: </w:t>
      </w:r>
    </w:p>
    <w:p w14:paraId="6A9719B3" w14:textId="77777777" w:rsidR="00776625" w:rsidRPr="00340AE5" w:rsidRDefault="00776625">
      <w:pPr>
        <w:jc w:val="both"/>
        <w:rPr>
          <w:rFonts w:ascii="Gadugi" w:eastAsia="Century Gothic" w:hAnsi="Gadugi" w:cs="Century Gothic"/>
          <w:sz w:val="22"/>
          <w:szCs w:val="22"/>
        </w:rPr>
      </w:pPr>
    </w:p>
    <w:p w14:paraId="41C1C550" w14:textId="77777777" w:rsidR="00552271" w:rsidRPr="00340AE5" w:rsidRDefault="003F2C4A">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b/>
          <w:i/>
          <w:sz w:val="22"/>
          <w:szCs w:val="22"/>
          <w:u w:val="single"/>
        </w:rPr>
        <w:t>“ARTÍCULO 160. &lt;EFECTOS DEL DIVORCIO&gt;</w:t>
      </w:r>
      <w:r w:rsidRPr="00340AE5">
        <w:rPr>
          <w:rFonts w:ascii="Gadugi" w:eastAsia="Century Gothic" w:hAnsi="Gadugi" w:cs="Century Gothic"/>
          <w:b/>
          <w:sz w:val="22"/>
          <w:szCs w:val="22"/>
          <w:u w:val="single"/>
        </w:rPr>
        <w:t>.</w:t>
      </w:r>
      <w:r w:rsidRPr="00340AE5">
        <w:rPr>
          <w:rFonts w:ascii="Gadugi" w:eastAsia="Century Gothic" w:hAnsi="Gadugi" w:cs="Century Gothic"/>
          <w:sz w:val="22"/>
          <w:szCs w:val="22"/>
        </w:rPr>
        <w:t xml:space="preserve"> Ejecutoriada la sentencia que decreta el divorcio, queda disuelto el vínculo en el matrimonio civil y cesan los efectos civiles del matrimonio religioso, así mismo, se disuelve la sociedad conyugal, </w:t>
      </w:r>
      <w:r w:rsidRPr="00340AE5">
        <w:rPr>
          <w:rFonts w:ascii="Gadugi" w:eastAsia="Century Gothic" w:hAnsi="Gadugi" w:cs="Century Gothic"/>
          <w:sz w:val="22"/>
          <w:szCs w:val="22"/>
          <w:u w:val="single"/>
        </w:rPr>
        <w:t>pero subsisten los deberes y derechos de las partes respecto de los hijos comunes y, según el caso, los derechos y deberes alimentarios de los cónyuges entre sí.</w:t>
      </w:r>
      <w:r w:rsidRPr="00340AE5">
        <w:rPr>
          <w:rFonts w:ascii="Gadugi" w:eastAsia="Century Gothic" w:hAnsi="Gadugi" w:cs="Century Gothic"/>
          <w:sz w:val="22"/>
          <w:szCs w:val="22"/>
        </w:rPr>
        <w:t>”</w:t>
      </w:r>
    </w:p>
    <w:p w14:paraId="41BB6D5F"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Así pues, en principio, el código civil dispone que entre los cónyuges solamente se mantienen deberes “alimentarios”. Los alimentos están reglamentados en el código civil en los artículos 411 y siguientes. Entre los titulares de los alimentos se encuentran: </w:t>
      </w:r>
    </w:p>
    <w:p w14:paraId="4E5FB126" w14:textId="77777777" w:rsidR="00552271" w:rsidRPr="00340AE5" w:rsidRDefault="003F2C4A">
      <w:pPr>
        <w:spacing w:before="180" w:after="180" w:line="276" w:lineRule="auto"/>
        <w:jc w:val="both"/>
        <w:rPr>
          <w:rFonts w:ascii="Gadugi" w:eastAsia="Century Gothic" w:hAnsi="Gadugi" w:cs="Century Gothic"/>
          <w:i/>
          <w:sz w:val="22"/>
          <w:szCs w:val="22"/>
        </w:rPr>
      </w:pPr>
      <w:r w:rsidRPr="00340AE5">
        <w:rPr>
          <w:rFonts w:ascii="Gadugi" w:eastAsia="Century Gothic" w:hAnsi="Gadugi" w:cs="Century Gothic"/>
          <w:b/>
          <w:i/>
          <w:sz w:val="22"/>
          <w:szCs w:val="22"/>
          <w:u w:val="single"/>
        </w:rPr>
        <w:t>“ARTÍCULO 411. &lt;TITULARES DEL DERECHO DE ALIMENTOS&gt;.</w:t>
      </w:r>
      <w:r w:rsidRPr="00340AE5">
        <w:rPr>
          <w:rFonts w:ascii="Gadugi" w:eastAsia="Century Gothic" w:hAnsi="Gadugi" w:cs="Century Gothic"/>
          <w:i/>
          <w:sz w:val="22"/>
          <w:szCs w:val="22"/>
        </w:rPr>
        <w:t xml:space="preserve"> Se deben alimentos:</w:t>
      </w:r>
    </w:p>
    <w:p w14:paraId="481BDE43"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Al cónyuge.</w:t>
      </w:r>
      <w:r w:rsidR="00A72A7B" w:rsidRPr="00340AE5">
        <w:rPr>
          <w:rFonts w:ascii="Gadugi" w:eastAsia="Century Gothic" w:hAnsi="Gadugi" w:cs="Century Gothic"/>
          <w:i/>
        </w:rPr>
        <w:tab/>
      </w:r>
    </w:p>
    <w:p w14:paraId="702A99E9"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 xml:space="preserve"> A los descendientes.</w:t>
      </w:r>
      <w:r w:rsidR="00A72A7B" w:rsidRPr="00340AE5">
        <w:rPr>
          <w:rFonts w:ascii="Gadugi" w:eastAsia="Century Gothic" w:hAnsi="Gadugi" w:cs="Century Gothic"/>
          <w:i/>
        </w:rPr>
        <w:tab/>
      </w:r>
    </w:p>
    <w:p w14:paraId="2D5F7D3A"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 xml:space="preserve"> A los ascendientes.</w:t>
      </w:r>
      <w:r w:rsidR="00A72A7B" w:rsidRPr="00340AE5">
        <w:rPr>
          <w:rFonts w:ascii="Gadugi" w:eastAsia="Century Gothic" w:hAnsi="Gadugi" w:cs="Century Gothic"/>
          <w:i/>
        </w:rPr>
        <w:tab/>
      </w:r>
    </w:p>
    <w:p w14:paraId="4353DE08"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cargo del cónyuge culpable, al cónyuge divorciado o separado de cuerpo sin su culpa.</w:t>
      </w:r>
      <w:r w:rsidR="00A72A7B" w:rsidRPr="00340AE5">
        <w:rPr>
          <w:rFonts w:ascii="Gadugi" w:eastAsia="Century Gothic" w:hAnsi="Gadugi" w:cs="Century Gothic"/>
          <w:i/>
        </w:rPr>
        <w:tab/>
      </w:r>
    </w:p>
    <w:p w14:paraId="0379A915"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los hijos naturales, su posteridad y a los nietos naturales.</w:t>
      </w:r>
      <w:r w:rsidR="00A72A7B" w:rsidRPr="00340AE5">
        <w:rPr>
          <w:rFonts w:ascii="Gadugi" w:eastAsia="Century Gothic" w:hAnsi="Gadugi" w:cs="Century Gothic"/>
          <w:i/>
        </w:rPr>
        <w:tab/>
      </w:r>
    </w:p>
    <w:p w14:paraId="6D584BBD"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los Ascendientes Naturales.</w:t>
      </w:r>
      <w:r w:rsidR="00A72A7B" w:rsidRPr="00340AE5">
        <w:rPr>
          <w:rFonts w:ascii="Gadugi" w:eastAsia="Century Gothic" w:hAnsi="Gadugi" w:cs="Century Gothic"/>
          <w:i/>
        </w:rPr>
        <w:tab/>
      </w:r>
    </w:p>
    <w:p w14:paraId="6F5E8BF1"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los hijos adoptivos.</w:t>
      </w:r>
      <w:r w:rsidR="00A72A7B" w:rsidRPr="00340AE5">
        <w:rPr>
          <w:rFonts w:ascii="Gadugi" w:eastAsia="Century Gothic" w:hAnsi="Gadugi" w:cs="Century Gothic"/>
          <w:i/>
        </w:rPr>
        <w:tab/>
      </w:r>
    </w:p>
    <w:p w14:paraId="192B872D"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los padres adoptantes.</w:t>
      </w:r>
      <w:r w:rsidR="00A72A7B" w:rsidRPr="00340AE5">
        <w:rPr>
          <w:rFonts w:ascii="Gadugi" w:eastAsia="Century Gothic" w:hAnsi="Gadugi" w:cs="Century Gothic"/>
          <w:i/>
        </w:rPr>
        <w:tab/>
      </w:r>
    </w:p>
    <w:p w14:paraId="35ED8F1B" w14:textId="77777777" w:rsidR="00A72A7B"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A los hermanos.</w:t>
      </w:r>
      <w:r w:rsidR="00A72A7B" w:rsidRPr="00340AE5">
        <w:rPr>
          <w:rFonts w:ascii="Gadugi" w:eastAsia="Century Gothic" w:hAnsi="Gadugi" w:cs="Century Gothic"/>
          <w:i/>
        </w:rPr>
        <w:tab/>
      </w:r>
    </w:p>
    <w:p w14:paraId="7597DCC4" w14:textId="77777777" w:rsidR="00552271" w:rsidRPr="00340AE5" w:rsidRDefault="003F2C4A" w:rsidP="00A72A7B">
      <w:pPr>
        <w:pStyle w:val="Prrafodelista"/>
        <w:numPr>
          <w:ilvl w:val="0"/>
          <w:numId w:val="32"/>
        </w:numPr>
        <w:spacing w:before="180" w:after="180"/>
        <w:jc w:val="both"/>
        <w:rPr>
          <w:rFonts w:ascii="Gadugi" w:eastAsia="Century Gothic" w:hAnsi="Gadugi" w:cs="Century Gothic"/>
          <w:i/>
        </w:rPr>
      </w:pPr>
      <w:r w:rsidRPr="00340AE5">
        <w:rPr>
          <w:rFonts w:ascii="Gadugi" w:eastAsia="Century Gothic" w:hAnsi="Gadugi" w:cs="Century Gothic"/>
          <w:i/>
        </w:rPr>
        <w:t xml:space="preserve"> Al que hizo una donación cuantiosa si no hubiere sido rescindida o revocada.</w:t>
      </w:r>
    </w:p>
    <w:p w14:paraId="5DFD42DD" w14:textId="77777777" w:rsidR="00552271" w:rsidRPr="00340AE5" w:rsidRDefault="003F2C4A">
      <w:pPr>
        <w:spacing w:before="180" w:after="180" w:line="276" w:lineRule="auto"/>
        <w:jc w:val="both"/>
        <w:rPr>
          <w:rFonts w:ascii="Gadugi" w:eastAsia="Century Gothic" w:hAnsi="Gadugi" w:cs="Century Gothic"/>
          <w:i/>
          <w:sz w:val="22"/>
          <w:szCs w:val="22"/>
        </w:rPr>
      </w:pPr>
      <w:r w:rsidRPr="00340AE5">
        <w:rPr>
          <w:rFonts w:ascii="Gadugi" w:eastAsia="Century Gothic" w:hAnsi="Gadugi" w:cs="Century Gothic"/>
          <w:i/>
          <w:sz w:val="22"/>
          <w:szCs w:val="22"/>
        </w:rPr>
        <w:t>La acción del donante se dirigirá contra el donatario.</w:t>
      </w:r>
    </w:p>
    <w:p w14:paraId="57FAF545" w14:textId="77777777" w:rsidR="00552271" w:rsidRPr="00340AE5" w:rsidRDefault="003F2C4A">
      <w:pPr>
        <w:spacing w:before="180" w:after="180" w:line="276" w:lineRule="auto"/>
        <w:jc w:val="both"/>
        <w:rPr>
          <w:rFonts w:ascii="Gadugi" w:eastAsia="Century Gothic" w:hAnsi="Gadugi" w:cs="Century Gothic"/>
          <w:i/>
          <w:sz w:val="22"/>
          <w:szCs w:val="22"/>
        </w:rPr>
      </w:pPr>
      <w:r w:rsidRPr="00340AE5">
        <w:rPr>
          <w:rFonts w:ascii="Gadugi" w:eastAsia="Century Gothic" w:hAnsi="Gadugi" w:cs="Century Gothic"/>
          <w:i/>
          <w:sz w:val="22"/>
          <w:szCs w:val="22"/>
        </w:rPr>
        <w:t>No se deben alimentos a las personas aquí designadas en los casos en que una ley se los niegue.”</w:t>
      </w:r>
    </w:p>
    <w:p w14:paraId="51A041DD"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Adicionalmente, a la luz del texto del código civil, la Corte Suprema de Justicia ha aclarado las características de las obligaciones alimentarias. Por ejemplo, en la sentencia STC 6975 de 2019 se indicó que: </w:t>
      </w:r>
    </w:p>
    <w:p w14:paraId="0C0BA769" w14:textId="77777777" w:rsidR="00776625" w:rsidRPr="00340AE5" w:rsidRDefault="00776625">
      <w:pPr>
        <w:spacing w:line="276" w:lineRule="auto"/>
        <w:jc w:val="both"/>
        <w:rPr>
          <w:rFonts w:ascii="Gadugi" w:eastAsia="Century Gothic" w:hAnsi="Gadugi" w:cs="Century Gothic"/>
          <w:sz w:val="22"/>
          <w:szCs w:val="22"/>
        </w:rPr>
      </w:pPr>
    </w:p>
    <w:p w14:paraId="36221EBE" w14:textId="77777777" w:rsidR="00552271" w:rsidRPr="00340AE5" w:rsidRDefault="003F2C4A" w:rsidP="00776625">
      <w:pPr>
        <w:spacing w:line="276" w:lineRule="auto"/>
        <w:ind w:left="567" w:right="760"/>
        <w:jc w:val="both"/>
        <w:rPr>
          <w:rFonts w:ascii="Gadugi" w:eastAsia="Century Gothic" w:hAnsi="Gadugi" w:cs="Century Gothic"/>
          <w:i/>
          <w:sz w:val="22"/>
          <w:szCs w:val="22"/>
        </w:rPr>
      </w:pPr>
      <w:r w:rsidRPr="00340AE5">
        <w:rPr>
          <w:rFonts w:ascii="Gadugi" w:eastAsia="Century Gothic" w:hAnsi="Gadugi" w:cs="Century Gothic"/>
          <w:i/>
          <w:sz w:val="22"/>
          <w:szCs w:val="22"/>
        </w:rPr>
        <w:t>“a. La obligación alimentaria no es una que difiera de las demás de naturaleza civil, por cuanto presupone la existencia de una norma jurídica y una situación de hecho, contemplada en ella como supuesto capaz de generar consecuencias en derecho. b. Su especificidad radica en su fundamento y su finalidad, pues, la obligación alimentaria aparece en el marco del deber de solidaridad que une a los miembros más cercanos de una familia, y tiene por finalidad la subsistencia de quienes son sus beneficiarios. c. El deber de asistencia alimentaria se establece sobre dos requisitos fundamentales: i) la necesidad del beneficiario y ii) la capacidad del obligado, quien debe ayudar a la subsistencia de sus parientes, sin que ello implique el sacrificio de su propia existencia. d. La obligación de dar alimentos y los derechos que de ella surgen tiene unos medios de protección efectiva, por cuanto el ordenamiento jurídico contiene normas relacionadas con los titulares del derecho, las clases de alimentos, las reglas para tasarlos, la duración de la obligación, los alimentos provisionales (arts. 411 a 427 del Código Civil); el concepto de la obligación, las vías judiciales para reclamarlos, el procedimiento que debe agotarse para el efecto, (arts. 133 a 159 del Código del Menor), y el trámite judicial para reclamar alimentos para mayores de edad (arts. 435 a 440 Código de Procedimiento Civil), todo lo cual permite al beneficiario de la prestación alimentaria hacer efectiva su garantía, cuando el obligado elude su responsabilidad (…)”</w:t>
      </w:r>
    </w:p>
    <w:p w14:paraId="56023052" w14:textId="77777777" w:rsidR="00552271" w:rsidRPr="00340AE5" w:rsidRDefault="00552271">
      <w:pPr>
        <w:spacing w:line="276" w:lineRule="auto"/>
        <w:ind w:firstLine="720"/>
        <w:jc w:val="both"/>
        <w:rPr>
          <w:rFonts w:ascii="Gadugi" w:eastAsia="Century Gothic" w:hAnsi="Gadugi" w:cs="Century Gothic"/>
          <w:i/>
          <w:sz w:val="22"/>
          <w:szCs w:val="22"/>
        </w:rPr>
      </w:pPr>
    </w:p>
    <w:p w14:paraId="2D0496B4"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No </w:t>
      </w:r>
      <w:r w:rsidR="00776625" w:rsidRPr="00340AE5">
        <w:rPr>
          <w:rFonts w:ascii="Gadugi" w:eastAsia="Century Gothic" w:hAnsi="Gadugi" w:cs="Century Gothic"/>
          <w:sz w:val="22"/>
          <w:szCs w:val="22"/>
        </w:rPr>
        <w:t>obstante,</w:t>
      </w:r>
      <w:r w:rsidRPr="00340AE5">
        <w:rPr>
          <w:rFonts w:ascii="Gadugi" w:eastAsia="Century Gothic" w:hAnsi="Gadugi" w:cs="Century Gothic"/>
          <w:sz w:val="22"/>
          <w:szCs w:val="22"/>
        </w:rPr>
        <w:t xml:space="preserve"> la importancia de la figura de alimentos, lo cierto es que esta figura no tiene una naturaleza indemnizatoria, ni se basa en el principio de reparación integral, sino más bien en el principio de la solidaridad entre los integrantes de una familia. En ese sentido, en la sentencia STC 10829 de 2017 se indicó: </w:t>
      </w:r>
    </w:p>
    <w:p w14:paraId="241633DC" w14:textId="77777777" w:rsidR="00552271" w:rsidRPr="00340AE5" w:rsidRDefault="00552271" w:rsidP="00A72A7B">
      <w:pPr>
        <w:spacing w:line="276" w:lineRule="auto"/>
        <w:ind w:left="567" w:right="760"/>
        <w:jc w:val="both"/>
        <w:rPr>
          <w:rFonts w:ascii="Gadugi" w:eastAsia="Century Gothic" w:hAnsi="Gadugi" w:cs="Century Gothic"/>
          <w:sz w:val="22"/>
          <w:szCs w:val="22"/>
        </w:rPr>
      </w:pPr>
    </w:p>
    <w:p w14:paraId="02D048CE" w14:textId="77777777" w:rsidR="00552271" w:rsidRPr="00340AE5" w:rsidRDefault="003F2C4A" w:rsidP="00A72A7B">
      <w:pPr>
        <w:spacing w:line="276" w:lineRule="auto"/>
        <w:ind w:left="567" w:right="760" w:firstLine="720"/>
        <w:jc w:val="both"/>
        <w:rPr>
          <w:rFonts w:ascii="Gadugi" w:eastAsia="Century Gothic" w:hAnsi="Gadugi" w:cs="Century Gothic"/>
          <w:i/>
          <w:sz w:val="22"/>
          <w:szCs w:val="22"/>
        </w:rPr>
      </w:pPr>
      <w:r w:rsidRPr="00340AE5">
        <w:rPr>
          <w:rFonts w:ascii="Gadugi" w:eastAsia="Century Gothic" w:hAnsi="Gadugi" w:cs="Century Gothic"/>
          <w:i/>
          <w:sz w:val="22"/>
          <w:szCs w:val="22"/>
        </w:rPr>
        <w:t>“</w:t>
      </w:r>
      <w:r w:rsidRPr="00340AE5">
        <w:rPr>
          <w:rFonts w:ascii="Gadugi" w:eastAsia="Century Gothic" w:hAnsi="Gadugi" w:cs="Century Gothic"/>
          <w:i/>
          <w:sz w:val="22"/>
          <w:szCs w:val="22"/>
          <w:u w:val="single"/>
        </w:rPr>
        <w:t>Debe recordar esta Sala que de la hermenéutica de los preceptos 411 y 414 no puede inferirse naturaleza indemnizatoria en la obligación alimentaria para ser asimilada como una prestación ligada al daño contractual o extracontractual</w:t>
      </w:r>
      <w:r w:rsidRPr="00340AE5">
        <w:rPr>
          <w:rFonts w:ascii="Gadugi" w:eastAsia="Century Gothic" w:hAnsi="Gadugi" w:cs="Century Gothic"/>
          <w:i/>
          <w:sz w:val="22"/>
          <w:szCs w:val="22"/>
        </w:rPr>
        <w:t>. Los cánones mencionados refieren la prestación por causa de las distintas fuentes obligacionales que le dan nacimiento a la misma o para extinguirla. Analizan los congruos y los necesarios, frente a los cuales las ofensas graves o atroces provenientes del acreedor inciden para su cuantificación o determinación, según sean unos u otros, pero de ninguna manera para edificar el nacimiento de una prestación indemnizatoria, esta última como ya se ha explicado tiene su fuente en el derecho de daños que difiere sustancialmente del vínculo obligacional que surge en materia de alimentos».</w:t>
      </w:r>
    </w:p>
    <w:p w14:paraId="0B85BE10" w14:textId="77777777" w:rsidR="00552271" w:rsidRPr="00340AE5" w:rsidRDefault="00552271">
      <w:pPr>
        <w:spacing w:line="276" w:lineRule="auto"/>
        <w:ind w:firstLine="720"/>
        <w:jc w:val="both"/>
        <w:rPr>
          <w:rFonts w:ascii="Gadugi" w:eastAsia="Century Gothic" w:hAnsi="Gadugi" w:cs="Century Gothic"/>
          <w:i/>
          <w:sz w:val="22"/>
          <w:szCs w:val="22"/>
        </w:rPr>
      </w:pPr>
    </w:p>
    <w:p w14:paraId="24D91A46"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En resumidas palabras, la obligación alimentaria tiene como sustento el principio de solidaridad en el núcleo familiar y se configura no al demostrar la ocurrencia de un daño, sino porque concurren tres circunstancias: 1. la necesidad de alimentos, 2. el parentesco de la consanguinidad o civil entre alimentarios y alimentante, según establezca la ley o la calidad de cónyuge inocente/divorciado sin su culpa y, 3. La capacidad del alimentante, sin que esto implique el sacrificio de su propia existencia</w:t>
      </w:r>
      <w:r w:rsidRPr="00340AE5">
        <w:rPr>
          <w:rFonts w:ascii="Gadugi" w:eastAsia="Century Gothic" w:hAnsi="Gadugi" w:cs="Century Gothic"/>
          <w:sz w:val="22"/>
          <w:szCs w:val="22"/>
          <w:vertAlign w:val="superscript"/>
        </w:rPr>
        <w:footnoteReference w:id="20"/>
      </w:r>
      <w:r w:rsidRPr="00340AE5">
        <w:rPr>
          <w:rFonts w:ascii="Gadugi" w:eastAsia="Century Gothic" w:hAnsi="Gadugi" w:cs="Century Gothic"/>
          <w:sz w:val="22"/>
          <w:szCs w:val="22"/>
        </w:rPr>
        <w:t>.</w:t>
      </w:r>
    </w:p>
    <w:p w14:paraId="37D1AB37" w14:textId="77777777" w:rsidR="00552271" w:rsidRPr="00340AE5" w:rsidRDefault="00552271">
      <w:pPr>
        <w:spacing w:line="276" w:lineRule="auto"/>
        <w:jc w:val="both"/>
        <w:rPr>
          <w:rFonts w:ascii="Gadugi" w:eastAsia="Century Gothic" w:hAnsi="Gadugi" w:cs="Century Gothic"/>
          <w:sz w:val="22"/>
          <w:szCs w:val="22"/>
        </w:rPr>
      </w:pPr>
    </w:p>
    <w:p w14:paraId="01A225A1"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Adicionalmente, en el Código General del Proceso, en los artículos 387, 388 y 389 se establecen las reglas aplicables al divorcio y el contenido de la sentencia de nulidad o de divorcio. En concreto, la sentencia que decrete en el artículo 389 sobre la nulidad del matrimonio disponen: </w:t>
      </w:r>
    </w:p>
    <w:p w14:paraId="448A359B" w14:textId="77777777" w:rsidR="00552271" w:rsidRPr="00340AE5" w:rsidRDefault="00552271">
      <w:pPr>
        <w:spacing w:line="276" w:lineRule="auto"/>
        <w:jc w:val="both"/>
        <w:rPr>
          <w:rFonts w:ascii="Gadugi" w:eastAsia="Century Gothic" w:hAnsi="Gadugi" w:cs="Century Gothic"/>
          <w:sz w:val="22"/>
          <w:szCs w:val="22"/>
        </w:rPr>
      </w:pPr>
    </w:p>
    <w:p w14:paraId="053743EB" w14:textId="77777777" w:rsidR="00552271" w:rsidRPr="00340AE5" w:rsidRDefault="003F2C4A" w:rsidP="008119B3">
      <w:pPr>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“1. A quién corresponde el cuidado de los hijos.</w:t>
      </w:r>
    </w:p>
    <w:p w14:paraId="34354DB0" w14:textId="77777777" w:rsidR="00552271" w:rsidRPr="00340AE5" w:rsidRDefault="003F2C4A" w:rsidP="008119B3">
      <w:pPr>
        <w:spacing w:before="180" w:after="180"/>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2. La proporción en que los cónyuges deben contribuir a los gastos de crianza, educación y establecimiento de los hijos comunes, de acuerdo con lo dispuesto en los incisos segundo y tercero del artículo </w:t>
      </w:r>
      <w:hyperlink r:id="rId13" w:anchor="257">
        <w:r w:rsidRPr="00340AE5">
          <w:rPr>
            <w:rFonts w:ascii="Gadugi" w:eastAsia="Century Gothic" w:hAnsi="Gadugi" w:cs="Century Gothic"/>
            <w:i/>
            <w:sz w:val="22"/>
            <w:szCs w:val="22"/>
          </w:rPr>
          <w:t>257</w:t>
        </w:r>
      </w:hyperlink>
      <w:r w:rsidRPr="00340AE5">
        <w:rPr>
          <w:rFonts w:ascii="Gadugi" w:eastAsia="Century Gothic" w:hAnsi="Gadugi" w:cs="Century Gothic"/>
          <w:i/>
          <w:sz w:val="22"/>
          <w:szCs w:val="22"/>
        </w:rPr>
        <w:t xml:space="preserve"> del Código Civil.</w:t>
      </w:r>
    </w:p>
    <w:p w14:paraId="7BF21F11" w14:textId="77777777" w:rsidR="00552271" w:rsidRPr="00340AE5" w:rsidRDefault="003F2C4A" w:rsidP="008119B3">
      <w:pPr>
        <w:spacing w:before="180" w:after="180"/>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3. El monto de la pensión alimentaria que uno de los cónyuges deba al otro, si fuere el caso.</w:t>
      </w:r>
    </w:p>
    <w:p w14:paraId="129ECFFB" w14:textId="77777777" w:rsidR="00552271" w:rsidRPr="00340AE5" w:rsidRDefault="003F2C4A" w:rsidP="008119B3">
      <w:pPr>
        <w:spacing w:before="180" w:after="180"/>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4. A quién corresponde la patria potestad sobre los hijos no emancipados, cuando la causa del divorcio determine la suspensión o pérdida de la misma, o si los hijos deben quedar bajo guarda.</w:t>
      </w:r>
    </w:p>
    <w:p w14:paraId="719D8CF3" w14:textId="77777777" w:rsidR="00552271" w:rsidRPr="00340AE5" w:rsidRDefault="003F2C4A" w:rsidP="008119B3">
      <w:pPr>
        <w:spacing w:before="180" w:after="180"/>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5. La condena al pago de los perjuicios a cargo del cónyuge que por su culpa hubiere dado lugar a la nulidad del vínculo, a favor del otro, si éste lo hubiere solicitado.</w:t>
      </w:r>
    </w:p>
    <w:p w14:paraId="44352C08" w14:textId="77777777" w:rsidR="00552271" w:rsidRPr="00340AE5" w:rsidRDefault="003F2C4A" w:rsidP="008119B3">
      <w:pPr>
        <w:spacing w:before="180" w:after="180"/>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6. El envío de copia de las piezas conducentes del proceso a la autoridad competente, para que investigue los delitos que hayan podido cometerse por los cónyuges o por terceros al celebrarse el matrimonio, si antes no lo hubiere ordenado.”</w:t>
      </w:r>
    </w:p>
    <w:p w14:paraId="46E6FC28"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Frente a esto, es importante señalar tanto que la Corte Constitucional en la sentencia C-111 de 2022 indicó que el alcance sobre la sentencia de nulidad o divorcio también aplica a los procesos de cesación de efectos civiles, como que en el mencionado artículo se reconoce que es procedente la condena del pago por los perjuicios generados a cargo del cónyuge culpable. Es decir, de manera similar a como ocurre con la normatividad de las comisarías de familia, se reconoce la procedencia de la reparación, pero no existe claridad sobre el procedimiento para satisfacer </w:t>
      </w:r>
      <w:r w:rsidR="00D2146A" w:rsidRPr="00340AE5">
        <w:rPr>
          <w:rFonts w:ascii="Gadugi" w:eastAsia="Century Gothic" w:hAnsi="Gadugi" w:cs="Century Gothic"/>
          <w:sz w:val="22"/>
          <w:szCs w:val="22"/>
        </w:rPr>
        <w:t>esta</w:t>
      </w:r>
      <w:r w:rsidRPr="00340AE5">
        <w:rPr>
          <w:rFonts w:ascii="Gadugi" w:eastAsia="Century Gothic" w:hAnsi="Gadugi" w:cs="Century Gothic"/>
          <w:sz w:val="22"/>
          <w:szCs w:val="22"/>
        </w:rPr>
        <w:t xml:space="preserve"> medida. Es en este punto donde resulta importante la presente iniciativa legislativa. </w:t>
      </w:r>
    </w:p>
    <w:p w14:paraId="26646ECA" w14:textId="77777777" w:rsidR="00552271" w:rsidRPr="00340AE5" w:rsidRDefault="00552271">
      <w:pPr>
        <w:jc w:val="both"/>
        <w:rPr>
          <w:rFonts w:ascii="Gadugi" w:eastAsia="Century Gothic" w:hAnsi="Gadugi" w:cs="Century Gothic"/>
          <w:sz w:val="22"/>
          <w:szCs w:val="22"/>
        </w:rPr>
      </w:pPr>
    </w:p>
    <w:p w14:paraId="75FAF034" w14:textId="77777777" w:rsidR="00552271" w:rsidRPr="00340AE5" w:rsidRDefault="003F2C4A">
      <w:pPr>
        <w:numPr>
          <w:ilvl w:val="0"/>
          <w:numId w:val="8"/>
        </w:numPr>
        <w:spacing w:after="160" w:line="259" w:lineRule="auto"/>
        <w:jc w:val="both"/>
        <w:rPr>
          <w:rFonts w:ascii="Gadugi" w:eastAsia="Century Gothic" w:hAnsi="Gadugi" w:cs="Century Gothic"/>
          <w:sz w:val="22"/>
          <w:szCs w:val="22"/>
        </w:rPr>
      </w:pPr>
      <w:r w:rsidRPr="00340AE5">
        <w:rPr>
          <w:rFonts w:ascii="Gadugi" w:eastAsia="Century Gothic" w:hAnsi="Gadugi" w:cs="Century Gothic"/>
          <w:b/>
          <w:sz w:val="22"/>
          <w:szCs w:val="22"/>
        </w:rPr>
        <w:t>La importancia del enfoque de género en los procesos judiciales:</w:t>
      </w:r>
      <w:r w:rsidRPr="00340AE5">
        <w:rPr>
          <w:rFonts w:ascii="Gadugi" w:eastAsia="Century Gothic" w:hAnsi="Gadugi" w:cs="Century Gothic"/>
          <w:sz w:val="22"/>
          <w:szCs w:val="22"/>
        </w:rPr>
        <w:t xml:space="preserve"> </w:t>
      </w:r>
    </w:p>
    <w:p w14:paraId="36DDFD44"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La Corte Constitucional, en abundante jurisprudencia, ha señalado lo imperativo que resulta aplicar la perspectiva de género en los procesos y providencias judiciales. Las concepciones culturales y estereotipos de género han impactado significativamente a la sociedad y ha legitimado las violencias. En concreto, la violencia contra las mujeres por el hecho de ser mujeres: “Pero no por el hecho de ser mujeres desde una concepción biológica, sino de los roles y la posición que se asigna a las mujeres desde una concepción social y cultural”. Tanto los estereotipos como las violencias deben ser abordadas con medidas sociales, educativas, laborales y jurídicas para así reestructurar e introducir “nuevas escalas de valores construidos sobre el respeto de los derechos fundamentales”. </w:t>
      </w:r>
    </w:p>
    <w:p w14:paraId="7D49F5A3" w14:textId="77777777" w:rsidR="00552271" w:rsidRPr="00340AE5" w:rsidRDefault="00552271">
      <w:pPr>
        <w:jc w:val="both"/>
        <w:rPr>
          <w:rFonts w:ascii="Gadugi" w:eastAsia="Century Gothic" w:hAnsi="Gadugi" w:cs="Century Gothic"/>
          <w:sz w:val="22"/>
          <w:szCs w:val="22"/>
        </w:rPr>
      </w:pPr>
    </w:p>
    <w:p w14:paraId="1961698D"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concreto, la Corte Constitucional ha indicado que en materia judicial se debe aplicar una perspectiva de género y esta debe verse reflejada mediante un análisis en el que: </w:t>
      </w:r>
    </w:p>
    <w:p w14:paraId="491AF919" w14:textId="77777777" w:rsidR="00552271" w:rsidRPr="00340AE5" w:rsidRDefault="00552271">
      <w:pPr>
        <w:jc w:val="both"/>
        <w:rPr>
          <w:rFonts w:ascii="Gadugi" w:eastAsia="Century Gothic" w:hAnsi="Gadugi" w:cs="Century Gothic"/>
          <w:sz w:val="22"/>
          <w:szCs w:val="22"/>
        </w:rPr>
      </w:pPr>
    </w:p>
    <w:p w14:paraId="2AD31ABC" w14:textId="77777777" w:rsidR="00552271" w:rsidRPr="00340AE5" w:rsidRDefault="003F2C4A" w:rsidP="00D2146A">
      <w:pPr>
        <w:ind w:left="567" w:right="193"/>
        <w:jc w:val="both"/>
        <w:rPr>
          <w:rFonts w:ascii="Gadugi" w:eastAsia="Century Gothic" w:hAnsi="Gadugi" w:cs="Century Gothic"/>
          <w:sz w:val="22"/>
          <w:szCs w:val="22"/>
        </w:rPr>
      </w:pPr>
      <w:r w:rsidRPr="00340AE5">
        <w:rPr>
          <w:rFonts w:ascii="Gadugi" w:eastAsia="Century Gothic" w:hAnsi="Gadugi" w:cs="Century Gothic"/>
          <w:i/>
          <w:sz w:val="22"/>
          <w:szCs w:val="22"/>
        </w:rPr>
        <w:t xml:space="preserve">“(...) el juez no </w:t>
      </w:r>
      <w:proofErr w:type="spellStart"/>
      <w:r w:rsidRPr="00340AE5">
        <w:rPr>
          <w:rFonts w:ascii="Gadugi" w:eastAsia="Century Gothic" w:hAnsi="Gadugi" w:cs="Century Gothic"/>
          <w:i/>
          <w:sz w:val="22"/>
          <w:szCs w:val="22"/>
        </w:rPr>
        <w:t>perpetue</w:t>
      </w:r>
      <w:proofErr w:type="spellEnd"/>
      <w:r w:rsidRPr="00340AE5">
        <w:rPr>
          <w:rFonts w:ascii="Gadugi" w:eastAsia="Century Gothic" w:hAnsi="Gadugi" w:cs="Century Gothic"/>
          <w:i/>
          <w:sz w:val="22"/>
          <w:szCs w:val="22"/>
        </w:rPr>
        <w:t xml:space="preserve"> estereotipos de género discriminatorios, y en tal sentido, la actuación del juez al analizar una problemática como la de la violencia contra la mujer, exige un abordaje multinivel, pues, el conjunto de documentos internacionales que han visibilizado la temática en cuestión -constituyan o no bloque de constitucionalidad- son referentes necesarios al construir una interpretación pro fémina, esto es, una consideración del caso concreto que involucre el espectro sociológico o de contexto que describe el calamitoso estado de cosas, en punto de la discriminación ejercida sobre la mujer”.</w:t>
      </w:r>
    </w:p>
    <w:p w14:paraId="7FB5724A" w14:textId="77777777" w:rsidR="00552271" w:rsidRPr="00340AE5" w:rsidRDefault="003F2C4A" w:rsidP="00D2146A">
      <w:pPr>
        <w:ind w:left="567" w:right="193"/>
        <w:jc w:val="both"/>
        <w:rPr>
          <w:rFonts w:ascii="Gadugi" w:eastAsia="Century Gothic" w:hAnsi="Gadugi" w:cs="Century Gothic"/>
          <w:sz w:val="22"/>
          <w:szCs w:val="22"/>
        </w:rPr>
      </w:pPr>
      <w:r w:rsidRPr="00340AE5">
        <w:rPr>
          <w:rFonts w:ascii="Gadugi" w:eastAsia="Century Gothic" w:hAnsi="Gadugi" w:cs="Century Gothic"/>
          <w:sz w:val="22"/>
          <w:szCs w:val="22"/>
        </w:rPr>
        <w:t xml:space="preserve">Adicionalmente, en la sentencia T-224 de 2023 se aclara que este enfoque supone que los jueces desplieguen parámetros como: </w:t>
      </w:r>
    </w:p>
    <w:p w14:paraId="6EEE7279" w14:textId="77777777" w:rsidR="00552271" w:rsidRPr="00340AE5" w:rsidRDefault="00552271" w:rsidP="00D2146A">
      <w:pPr>
        <w:ind w:left="567" w:right="193"/>
        <w:jc w:val="both"/>
        <w:rPr>
          <w:rFonts w:ascii="Gadugi" w:eastAsia="Century Gothic" w:hAnsi="Gadugi" w:cs="Century Gothic"/>
          <w:sz w:val="22"/>
          <w:szCs w:val="22"/>
        </w:rPr>
      </w:pPr>
    </w:p>
    <w:p w14:paraId="4CAA73E2" w14:textId="77777777" w:rsidR="00552271" w:rsidRPr="00340AE5" w:rsidRDefault="003F2C4A" w:rsidP="00D2146A">
      <w:pPr>
        <w:ind w:left="567" w:right="193"/>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“(i) desplegar toda actividad investigativa en aras de garantizar los derechos en disputa y la dignidad de las mujeres; (ii) analizar los hechos, las pruebas y las normas con base en interpretaciones sistemáticas de la realidad, de manera que en ese ejercicio hermenéutico se reconozca que las mujeres han sido un grupo tradicionalmente discriminado y, como tal, se justifica un trato diferencial; (iii) no tomar decisiones con base en estereotipos de género; (iv) evitar la </w:t>
      </w:r>
      <w:proofErr w:type="spellStart"/>
      <w:r w:rsidRPr="00340AE5">
        <w:rPr>
          <w:rFonts w:ascii="Gadugi" w:eastAsia="Century Gothic" w:hAnsi="Gadugi" w:cs="Century Gothic"/>
          <w:i/>
          <w:sz w:val="22"/>
          <w:szCs w:val="22"/>
        </w:rPr>
        <w:t>revictimización</w:t>
      </w:r>
      <w:proofErr w:type="spellEnd"/>
      <w:r w:rsidRPr="00340AE5">
        <w:rPr>
          <w:rFonts w:ascii="Gadugi" w:eastAsia="Century Gothic" w:hAnsi="Gadugi" w:cs="Century Gothic"/>
          <w:i/>
          <w:sz w:val="22"/>
          <w:szCs w:val="22"/>
        </w:rPr>
        <w:t xml:space="preserve"> de la mujer; (v) reconocer las diferencias entre hombres y mujeres; (vi) flexibilizar la carga probatoria en casos de violencia o discriminación, privilegiando los indicios sobre las pruebas directas, cuando estas últimas resulten insuficientes; (vii) considerar el rol transformador o perpetuador de las decisiones judiciales y (viii) efectuar un análisis rígido sobre las actuaciones de quien presuntamente comete la violencia”.</w:t>
      </w:r>
    </w:p>
    <w:p w14:paraId="422C7C8B" w14:textId="77777777" w:rsidR="00552271" w:rsidRPr="00340AE5" w:rsidRDefault="00552271">
      <w:pPr>
        <w:ind w:firstLine="720"/>
        <w:jc w:val="both"/>
        <w:rPr>
          <w:rFonts w:ascii="Gadugi" w:eastAsia="Century Gothic" w:hAnsi="Gadugi" w:cs="Century Gothic"/>
          <w:i/>
          <w:sz w:val="22"/>
          <w:szCs w:val="22"/>
        </w:rPr>
      </w:pPr>
    </w:p>
    <w:p w14:paraId="3FB2B95D"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En ese sentido, aunque no existe un mandato normativo de aplicación del enfoque de género en las actividades judiciales, la Corte Constitucional de manera expresa ha indicado de su relevancia en el análisis de casos de violencias; sobre todo en casos de violencia al interior de la familia, “en tanto, encuentra un escenario de privacidad favorable para su ocurrencia, como consecuencia del manto de reserva que socialmente cobija ese tipo de relaciones”. Por ello, los procesos judiciales -desde su práctica hasta su reglamentación- deben reflejar un enfoque diferencial y reconocer que las violencias hacia las mujeres y demás violencias presentes en las familias no son ajenas a las ideas culturalmente normalizadas y deben ser contrarrestadas mediante la institucionalidad. Este proyecto de ley busca reconocer, desde la normatividad, ese enfoque de género y la materialización de las medidas de reparación para las víctimas.</w:t>
      </w:r>
    </w:p>
    <w:p w14:paraId="467DE898" w14:textId="77777777" w:rsidR="00552271" w:rsidRPr="00340AE5" w:rsidRDefault="00552271">
      <w:pPr>
        <w:jc w:val="both"/>
        <w:rPr>
          <w:rFonts w:ascii="Gadugi" w:eastAsia="Century Gothic" w:hAnsi="Gadugi" w:cs="Century Gothic"/>
          <w:sz w:val="22"/>
          <w:szCs w:val="22"/>
        </w:rPr>
      </w:pPr>
    </w:p>
    <w:p w14:paraId="6750F7D1" w14:textId="77777777" w:rsidR="00552271" w:rsidRPr="00340AE5" w:rsidRDefault="003F2C4A" w:rsidP="00A72A7B">
      <w:pPr>
        <w:numPr>
          <w:ilvl w:val="1"/>
          <w:numId w:val="31"/>
        </w:numPr>
        <w:pBdr>
          <w:top w:val="nil"/>
          <w:left w:val="nil"/>
          <w:bottom w:val="nil"/>
          <w:right w:val="nil"/>
          <w:between w:val="nil"/>
        </w:pBdr>
        <w:spacing w:after="200" w:line="276" w:lineRule="auto"/>
        <w:jc w:val="both"/>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 xml:space="preserve">La jurisprudencia relevante sobre el tema: </w:t>
      </w:r>
    </w:p>
    <w:p w14:paraId="283FFCA5" w14:textId="77777777" w:rsidR="00552271" w:rsidRPr="00340AE5" w:rsidRDefault="003F2C4A">
      <w:pPr>
        <w:jc w:val="both"/>
        <w:rPr>
          <w:rFonts w:ascii="Gadugi" w:eastAsia="Century Gothic" w:hAnsi="Gadugi" w:cs="Century Gothic"/>
          <w:b/>
          <w:sz w:val="22"/>
          <w:szCs w:val="22"/>
        </w:rPr>
      </w:pPr>
      <w:r w:rsidRPr="00340AE5">
        <w:rPr>
          <w:rFonts w:ascii="Gadugi" w:eastAsia="Century Gothic" w:hAnsi="Gadugi" w:cs="Century Gothic"/>
          <w:b/>
          <w:sz w:val="22"/>
          <w:szCs w:val="22"/>
        </w:rPr>
        <w:t xml:space="preserve">Corte Constitucional, Sentencia SU-080 de 2020. Magistrada Ponente: José Fernando Reyes Cuartas. </w:t>
      </w:r>
    </w:p>
    <w:p w14:paraId="39CC191D" w14:textId="77777777" w:rsidR="00552271" w:rsidRPr="00340AE5" w:rsidRDefault="00552271">
      <w:pPr>
        <w:jc w:val="both"/>
        <w:rPr>
          <w:rFonts w:ascii="Gadugi" w:eastAsia="Century Gothic" w:hAnsi="Gadugi" w:cs="Century Gothic"/>
          <w:b/>
          <w:sz w:val="22"/>
          <w:szCs w:val="22"/>
        </w:rPr>
      </w:pPr>
    </w:p>
    <w:p w14:paraId="65EC38D6"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La Corte Constitucional analizó el caso de una accionante quien interpuso acción de tutela contra la decisión emitida por el Tribunal Superior del Distrito Judicial de Bogotá, por medio de la cual se resolvió el recurso de apelación interpuesto contra la sentencia emitida dentro del proceso de cesación de efectos civiles de matrimonio católico adelantado por el Juzgado Once de Familia de Bogotá. 1. La accionante asegura que en la sentencia de segunda instancia (Sala de Familia del Tribunal Superior de Bogotá) en el trámite de la cesación de efectos civiles de matrimonio católico, se concretaron los defectos sustantivo y fáctico. Ello al confirmar la decisión de primera instancia, en el sentido de no condenar al demandado al pago de la obligación alimentaria de que trata el artículo 411.4 del Código Civil, pese a que se le encontró culpable en esa sede de la causal contenida en el numeral 3º del artículo 145 del mismo Código, esto es, </w:t>
      </w:r>
      <w:r w:rsidRPr="00340AE5">
        <w:rPr>
          <w:rFonts w:ascii="Gadugi" w:eastAsia="Century Gothic" w:hAnsi="Gadugi" w:cs="Century Gothic"/>
          <w:i/>
          <w:sz w:val="22"/>
          <w:szCs w:val="22"/>
        </w:rPr>
        <w:t xml:space="preserve">“ultrajes, el trato cruel y los maltratamientos de obra”. </w:t>
      </w:r>
      <w:r w:rsidRPr="00340AE5">
        <w:rPr>
          <w:rFonts w:ascii="Gadugi" w:eastAsia="Century Gothic" w:hAnsi="Gadugi" w:cs="Century Gothic"/>
          <w:sz w:val="22"/>
          <w:szCs w:val="22"/>
        </w:rPr>
        <w:t>Todo lo anterior bajo el argumento de que la accionante cuenta con capacidad económica para cubrir su subsistencia, lo que permite evidenciar que aquella no requiere la mencionada cuota alimentaria.</w:t>
      </w:r>
    </w:p>
    <w:p w14:paraId="324D58A3" w14:textId="77777777" w:rsidR="00552271" w:rsidRPr="00340AE5" w:rsidRDefault="00552271">
      <w:pPr>
        <w:jc w:val="both"/>
        <w:rPr>
          <w:rFonts w:ascii="Gadugi" w:eastAsia="Century Gothic" w:hAnsi="Gadugi" w:cs="Century Gothic"/>
          <w:sz w:val="22"/>
          <w:szCs w:val="22"/>
        </w:rPr>
      </w:pPr>
    </w:p>
    <w:p w14:paraId="5C4E3875"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esta sentencia, la Corte Constitucional desarrolló el alcance de la reparación integral de las víctimas como imperativo para la protección efectiva de sus derechos. En concreto, se indicó que el Estado colombiano tiene una obligación de establecer herramientas necesarias para erradicar las violencias, de manera que el Estado debe establecer mecanismos que permitan a las mujeres víctimas de violencia y tener un acceso efectivo a la reparación del daño. </w:t>
      </w:r>
    </w:p>
    <w:p w14:paraId="3FD8D924" w14:textId="77777777" w:rsidR="00552271" w:rsidRPr="00340AE5" w:rsidRDefault="00552271">
      <w:pPr>
        <w:jc w:val="both"/>
        <w:rPr>
          <w:rFonts w:ascii="Gadugi" w:eastAsia="Century Gothic" w:hAnsi="Gadugi" w:cs="Century Gothic"/>
          <w:sz w:val="22"/>
          <w:szCs w:val="22"/>
        </w:rPr>
      </w:pPr>
    </w:p>
    <w:p w14:paraId="7D0EFE7C"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Adicionalmente, se analizó la responsabilidad civil al interior de las relaciones familiares. La Corte reconoce que, a la luz del artículo 42, incisos 4 y 6 de la Constitución Política, el ordenamiento jurídico: </w:t>
      </w:r>
    </w:p>
    <w:p w14:paraId="4345D508" w14:textId="77777777" w:rsidR="00552271" w:rsidRPr="00340AE5" w:rsidRDefault="00552271">
      <w:pPr>
        <w:jc w:val="both"/>
        <w:rPr>
          <w:rFonts w:ascii="Gadugi" w:eastAsia="Century Gothic" w:hAnsi="Gadugi" w:cs="Century Gothic"/>
          <w:sz w:val="22"/>
          <w:szCs w:val="22"/>
        </w:rPr>
      </w:pPr>
    </w:p>
    <w:p w14:paraId="690A62A7" w14:textId="77777777" w:rsidR="00552271" w:rsidRPr="00340AE5" w:rsidRDefault="003F2C4A" w:rsidP="00D2146A">
      <w:pPr>
        <w:tabs>
          <w:tab w:val="left" w:pos="8080"/>
        </w:tabs>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“debe garantizar a la totalidad de los asociados, el poder acceder a la administración de justicia, para de esa manera lograr la protección de sus derechos fundamentales. En efecto, el sufrimiento de daños, agresiones y, en general, el desconocimiento de los derechos que la Carta reconoce, obliga por consecuencia la consagración de acciones y remedios accesibles y eficaces para el logro de la reparación justa, en plazos razonables”.  </w:t>
      </w:r>
    </w:p>
    <w:p w14:paraId="4E779D33" w14:textId="77777777" w:rsidR="00552271" w:rsidRPr="00340AE5" w:rsidRDefault="00552271">
      <w:pPr>
        <w:ind w:firstLine="720"/>
        <w:jc w:val="both"/>
        <w:rPr>
          <w:rFonts w:ascii="Gadugi" w:eastAsia="Century Gothic" w:hAnsi="Gadugi" w:cs="Century Gothic"/>
          <w:i/>
          <w:sz w:val="22"/>
          <w:szCs w:val="22"/>
        </w:rPr>
      </w:pPr>
    </w:p>
    <w:p w14:paraId="5DD68305"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Este Tribunal Constitucional hace un reconocimiento sumamente relevante y aclara que el resarcimiento o reparación del daño no se encuentra limitado o negado: </w:t>
      </w:r>
    </w:p>
    <w:p w14:paraId="096D3A53" w14:textId="77777777" w:rsidR="00552271" w:rsidRPr="00340AE5" w:rsidRDefault="00552271">
      <w:pPr>
        <w:jc w:val="both"/>
        <w:rPr>
          <w:rFonts w:ascii="Gadugi" w:eastAsia="Century Gothic" w:hAnsi="Gadugi" w:cs="Century Gothic"/>
          <w:sz w:val="22"/>
          <w:szCs w:val="22"/>
        </w:rPr>
      </w:pPr>
    </w:p>
    <w:p w14:paraId="3E633E05" w14:textId="77777777" w:rsidR="00552271" w:rsidRPr="00340AE5" w:rsidRDefault="003F2C4A" w:rsidP="00D2146A">
      <w:pPr>
        <w:ind w:left="567" w:right="902"/>
        <w:jc w:val="both"/>
        <w:rPr>
          <w:rFonts w:ascii="Gadugi" w:eastAsia="Century Gothic" w:hAnsi="Gadugi" w:cs="Century Gothic"/>
          <w:i/>
          <w:sz w:val="22"/>
          <w:szCs w:val="22"/>
        </w:rPr>
      </w:pPr>
      <w:r w:rsidRPr="00340AE5">
        <w:rPr>
          <w:rFonts w:ascii="Gadugi" w:eastAsia="Century Gothic" w:hAnsi="Gadugi" w:cs="Century Gothic"/>
          <w:sz w:val="22"/>
          <w:szCs w:val="22"/>
        </w:rPr>
        <w:t>“</w:t>
      </w:r>
      <w:r w:rsidRPr="00340AE5">
        <w:rPr>
          <w:rFonts w:ascii="Gadugi" w:eastAsia="Century Gothic" w:hAnsi="Gadugi" w:cs="Century Gothic"/>
          <w:i/>
          <w:sz w:val="22"/>
          <w:szCs w:val="22"/>
        </w:rPr>
        <w:t xml:space="preserve">porque la fuente del daño comparta con el afectado, un espacio geográfico determinado -el hogar- o porque existan lazos familiares. Al contrario, es posible asentar con firmeza, que los daños que al interior del núcleo familiar se concreten, originados en la violencia intrafamiliar, obligan la actuación firme del Estado para su sanción y prevención, y en lo que dice relación con el derecho de familia, es imperativo consagrar acciones judiciales que posibiliten su efectiva reparación, </w:t>
      </w:r>
      <w:r w:rsidRPr="00340AE5">
        <w:rPr>
          <w:rFonts w:ascii="Gadugi" w:eastAsia="Century Gothic" w:hAnsi="Gadugi" w:cs="Century Gothic"/>
          <w:i/>
          <w:sz w:val="22"/>
          <w:szCs w:val="22"/>
          <w:u w:val="single"/>
        </w:rPr>
        <w:t>pues, de nada sirve que normas superior abran paso a la posibilidad de tasar reparaciones con ocasión de los daños que la violencia intrafamiliar genere, si a su vez no se consagran las soluciones que posibiliten su materialización (...)</w:t>
      </w:r>
      <w:r w:rsidRPr="00340AE5">
        <w:rPr>
          <w:rFonts w:ascii="Gadugi" w:eastAsia="Century Gothic" w:hAnsi="Gadugi" w:cs="Century Gothic"/>
          <w:i/>
          <w:sz w:val="22"/>
          <w:szCs w:val="22"/>
        </w:rPr>
        <w:t>”</w:t>
      </w:r>
    </w:p>
    <w:p w14:paraId="004F24AE" w14:textId="77777777" w:rsidR="00552271" w:rsidRPr="00340AE5" w:rsidRDefault="00552271">
      <w:pPr>
        <w:ind w:firstLine="720"/>
        <w:jc w:val="both"/>
        <w:rPr>
          <w:rFonts w:ascii="Gadugi" w:eastAsia="Century Gothic" w:hAnsi="Gadugi" w:cs="Century Gothic"/>
          <w:i/>
          <w:sz w:val="22"/>
          <w:szCs w:val="22"/>
        </w:rPr>
      </w:pPr>
    </w:p>
    <w:p w14:paraId="773ED909"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Además, en esta jurisprudencia se indicó lo siguiente:</w:t>
      </w:r>
    </w:p>
    <w:p w14:paraId="41192675" w14:textId="77777777" w:rsidR="00552271" w:rsidRPr="00340AE5" w:rsidRDefault="00552271">
      <w:pPr>
        <w:jc w:val="both"/>
        <w:rPr>
          <w:rFonts w:ascii="Gadugi" w:eastAsia="Century Gothic" w:hAnsi="Gadugi" w:cs="Century Gothic"/>
          <w:sz w:val="22"/>
          <w:szCs w:val="22"/>
        </w:rPr>
      </w:pPr>
    </w:p>
    <w:p w14:paraId="7CE525D9" w14:textId="77777777" w:rsidR="00552271" w:rsidRPr="00340AE5" w:rsidRDefault="003F2C4A" w:rsidP="00D2146A">
      <w:pPr>
        <w:ind w:left="567" w:right="902"/>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“En ese sentido, se revocará la decisión de segunda instancia emitida al interior del trámite de tutela por la Sala de Casación Laboral de la Corte Suprema de Justicia y en cambio se confirmará parcialmente la decisión de la Sala Civil de la Corte Suprema en el entendido de que se protege el derecho fundamental de la actora a vivir libre de violencia de género, a ser reparada, a no ser </w:t>
      </w:r>
      <w:proofErr w:type="spellStart"/>
      <w:r w:rsidRPr="00340AE5">
        <w:rPr>
          <w:rFonts w:ascii="Gadugi" w:eastAsia="Century Gothic" w:hAnsi="Gadugi" w:cs="Century Gothic"/>
          <w:i/>
          <w:sz w:val="22"/>
          <w:szCs w:val="22"/>
        </w:rPr>
        <w:t>revictimizada</w:t>
      </w:r>
      <w:proofErr w:type="spellEnd"/>
      <w:r w:rsidRPr="00340AE5">
        <w:rPr>
          <w:rFonts w:ascii="Gadugi" w:eastAsia="Century Gothic" w:hAnsi="Gadugi" w:cs="Century Gothic"/>
          <w:i/>
          <w:sz w:val="22"/>
          <w:szCs w:val="22"/>
        </w:rPr>
        <w:t xml:space="preserve"> y a una decisión de la Administración de Justicia dentro de un plazo razonable. Como consecuencia de ello, se ordenará al Tribunal Superior de Bogotá, Sala de Familia, que partiendo del reconocimiento en el asunto tantas veces referido, de la existencia de la causal 3° del artículo 154 del Código Civil, esto es, los ultrajes, el trato cruel y los maltratamientos de obra, disponga la apertura de un incidente de reparación integral en el que, garantizando los mínimos del derecho de contradicción y las reglas propias de la responsabilidad civil con las particularidades que demande el caso, y los estándares probatorios que fueren menester, a efecto de expedir una decisión que garantice los derechos que en esta providencia se analizaron y, en consecuencia, se repare a la víctima de manera integral.”</w:t>
      </w:r>
    </w:p>
    <w:p w14:paraId="7DEA03BE" w14:textId="77777777" w:rsidR="00552271" w:rsidRPr="00340AE5" w:rsidRDefault="00552271" w:rsidP="00D2146A">
      <w:pPr>
        <w:ind w:left="567" w:right="902"/>
        <w:jc w:val="both"/>
        <w:rPr>
          <w:rFonts w:ascii="Gadugi" w:eastAsia="Century Gothic" w:hAnsi="Gadugi" w:cs="Century Gothic"/>
          <w:i/>
          <w:sz w:val="22"/>
          <w:szCs w:val="22"/>
        </w:rPr>
      </w:pPr>
    </w:p>
    <w:p w14:paraId="159E916D" w14:textId="77777777" w:rsidR="00552271" w:rsidRPr="00340AE5" w:rsidRDefault="003F2C4A" w:rsidP="00D2146A">
      <w:pPr>
        <w:ind w:left="567" w:right="902"/>
        <w:jc w:val="both"/>
        <w:rPr>
          <w:rFonts w:ascii="Gadugi" w:eastAsia="Century Gothic" w:hAnsi="Gadugi" w:cs="Century Gothic"/>
          <w:sz w:val="22"/>
          <w:szCs w:val="22"/>
        </w:rPr>
      </w:pPr>
      <w:r w:rsidRPr="00340AE5">
        <w:rPr>
          <w:rFonts w:ascii="Gadugi" w:eastAsia="Century Gothic" w:hAnsi="Gadugi" w:cs="Century Gothic"/>
          <w:sz w:val="22"/>
          <w:szCs w:val="22"/>
        </w:rPr>
        <w:t xml:space="preserve">Por último, en el resuelve se establece un exhorto al Congreso de la República para que “en ejercicio de su potestad de configuración legislativa, regula ampliamente el derecho fundamental a acceder a una reparación integral en los casos de violencia intrafamiliar, por medio de un mecanismo judicial justo y eficaz que respete los parámetros de debido proceso, plazo razonable y prohibición de </w:t>
      </w:r>
      <w:proofErr w:type="spellStart"/>
      <w:r w:rsidRPr="00340AE5">
        <w:rPr>
          <w:rFonts w:ascii="Gadugi" w:eastAsia="Century Gothic" w:hAnsi="Gadugi" w:cs="Century Gothic"/>
          <w:sz w:val="22"/>
          <w:szCs w:val="22"/>
        </w:rPr>
        <w:t>revictimización</w:t>
      </w:r>
      <w:proofErr w:type="spellEnd"/>
      <w:r w:rsidRPr="00340AE5">
        <w:rPr>
          <w:rFonts w:ascii="Gadugi" w:eastAsia="Century Gothic" w:hAnsi="Gadugi" w:cs="Century Gothic"/>
          <w:sz w:val="22"/>
          <w:szCs w:val="22"/>
        </w:rPr>
        <w:t>”.</w:t>
      </w:r>
    </w:p>
    <w:p w14:paraId="7F3DD0BF"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 </w:t>
      </w:r>
    </w:p>
    <w:p w14:paraId="017E1A8A"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el mismo sentido, las sentencias SC5039 de 2021 y STC-4393 de 2022 de la Sala Civil de la Corte Suprema de Justicia, crearon una </w:t>
      </w:r>
      <w:proofErr w:type="spellStart"/>
      <w:r w:rsidRPr="00340AE5">
        <w:rPr>
          <w:rFonts w:ascii="Gadugi" w:eastAsia="Century Gothic" w:hAnsi="Gadugi" w:cs="Century Gothic"/>
          <w:sz w:val="22"/>
          <w:szCs w:val="22"/>
        </w:rPr>
        <w:t>subregla</w:t>
      </w:r>
      <w:proofErr w:type="spellEnd"/>
      <w:r w:rsidRPr="00340AE5">
        <w:rPr>
          <w:rFonts w:ascii="Gadugi" w:eastAsia="Century Gothic" w:hAnsi="Gadugi" w:cs="Century Gothic"/>
          <w:sz w:val="22"/>
          <w:szCs w:val="22"/>
        </w:rPr>
        <w:t xml:space="preserve"> jurisprudencial en los siguientes términos:</w:t>
      </w:r>
    </w:p>
    <w:p w14:paraId="5DCCCA04" w14:textId="77777777" w:rsidR="00552271" w:rsidRPr="00340AE5" w:rsidRDefault="00552271">
      <w:pPr>
        <w:jc w:val="both"/>
        <w:rPr>
          <w:rFonts w:ascii="Gadugi" w:eastAsia="Century Gothic" w:hAnsi="Gadugi" w:cs="Century Gothic"/>
          <w:sz w:val="22"/>
          <w:szCs w:val="22"/>
        </w:rPr>
      </w:pPr>
    </w:p>
    <w:p w14:paraId="146EE9E7" w14:textId="77777777" w:rsidR="00552271" w:rsidRPr="00340AE5" w:rsidRDefault="00D2146A" w:rsidP="00C14DAE">
      <w:pPr>
        <w:tabs>
          <w:tab w:val="left" w:pos="709"/>
        </w:tabs>
        <w:ind w:left="567" w:right="476"/>
        <w:jc w:val="both"/>
        <w:rPr>
          <w:rFonts w:ascii="Gadugi" w:eastAsia="Century Gothic" w:hAnsi="Gadugi" w:cs="Century Gothic"/>
          <w:i/>
          <w:sz w:val="22"/>
          <w:szCs w:val="22"/>
        </w:rPr>
      </w:pPr>
      <w:r w:rsidRPr="00340AE5">
        <w:rPr>
          <w:rFonts w:ascii="Gadugi" w:eastAsia="Century Gothic" w:hAnsi="Gadugi" w:cs="Century Gothic"/>
          <w:i/>
          <w:sz w:val="22"/>
          <w:szCs w:val="22"/>
        </w:rPr>
        <w:t>“</w:t>
      </w:r>
      <w:r w:rsidR="003F2C4A" w:rsidRPr="00340AE5">
        <w:rPr>
          <w:rFonts w:ascii="Gadugi" w:eastAsia="Century Gothic" w:hAnsi="Gadugi" w:cs="Century Gothic"/>
          <w:i/>
          <w:sz w:val="22"/>
          <w:szCs w:val="22"/>
        </w:rPr>
        <w:t xml:space="preserve">Siempre que se acredite la ocurrencia de actos constitutivos de violencia intrafamiliar o de género durante el proceso de existencia de unión marital de hecho, deberá permitírsele a la víctima iniciar un trámite incidental de reparación –en los términos explicados en la sentencia SU-080 de 2020–, con el propósito de que el juez de familia determine, en el mismo escenario procesal, los alcances de los daños padecidos por la persona maltratada, asignando una compensación justa, de acuerdo con las reglas y principios generales en materia de reparación integral. </w:t>
      </w:r>
    </w:p>
    <w:p w14:paraId="7E0FF7D0" w14:textId="77777777" w:rsidR="00552271" w:rsidRPr="00340AE5" w:rsidRDefault="00552271" w:rsidP="00C14DAE">
      <w:pPr>
        <w:tabs>
          <w:tab w:val="left" w:pos="709"/>
        </w:tabs>
        <w:ind w:left="567" w:right="476"/>
        <w:jc w:val="both"/>
        <w:rPr>
          <w:rFonts w:ascii="Gadugi" w:eastAsia="Century Gothic" w:hAnsi="Gadugi" w:cs="Century Gothic"/>
          <w:i/>
          <w:sz w:val="22"/>
          <w:szCs w:val="22"/>
        </w:rPr>
      </w:pPr>
    </w:p>
    <w:p w14:paraId="45A2EFE8" w14:textId="77777777" w:rsidR="00552271" w:rsidRPr="00340AE5" w:rsidRDefault="003F2C4A" w:rsidP="00C14DAE">
      <w:pPr>
        <w:tabs>
          <w:tab w:val="left" w:pos="709"/>
        </w:tabs>
        <w:ind w:left="567" w:right="476"/>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Este incidente ha de entenderse como una vía procesal adicional al proceso ordinario de responsabilidad civil extracontractual o al incidente de reparación integral en el marco del proceso penal. Es decir, no se trata de crear un nuevo rubro indemnizatorio, sino de ofrecer una senda suplementaria para que se ejerza la misma acción de responsabilidad </w:t>
      </w:r>
      <w:proofErr w:type="spellStart"/>
      <w:r w:rsidRPr="00340AE5">
        <w:rPr>
          <w:rFonts w:ascii="Gadugi" w:eastAsia="Century Gothic" w:hAnsi="Gadugi" w:cs="Century Gothic"/>
          <w:i/>
          <w:sz w:val="22"/>
          <w:szCs w:val="22"/>
        </w:rPr>
        <w:t>aquiliana</w:t>
      </w:r>
      <w:proofErr w:type="spellEnd"/>
      <w:r w:rsidRPr="00340AE5">
        <w:rPr>
          <w:rFonts w:ascii="Gadugi" w:eastAsia="Century Gothic" w:hAnsi="Gadugi" w:cs="Century Gothic"/>
          <w:i/>
          <w:sz w:val="22"/>
          <w:szCs w:val="22"/>
        </w:rPr>
        <w:t>, pero esta vez ante los jueces de familia, y en el marco del proceso declarativo de existencia de unión marital de hecho. Lo anterior con miras a maximizar los escenarios donde las víctimas puedan acceder a la reparación integral a la que tienen derecho, y a reducir correlativamente las posibilidades de que el agente dañador eluda la carga de indemnizar a su expareja por los menoscabos físicos o psicológicos que puedan atribuirse fáctica y jurídicamente a su conducta. Ahora bien, como ese procedimiento especial no se encuentra expresamente regulado, deberán observarse las pautas que disciplinan asuntos análogos, garantizando la plena observancia de los principios constitucionales y los generales del derecho procesal, la efectividad del debido proceso, la contradicción y la defensa, así como la realización de los derechos sustanciales en disputa, todo ello de conformidad con lo dispuesto en los artículos 11 y 12 del Código General del Proceso.</w:t>
      </w:r>
    </w:p>
    <w:p w14:paraId="16DA6F2D" w14:textId="77777777" w:rsidR="00552271" w:rsidRPr="00340AE5" w:rsidRDefault="00552271" w:rsidP="00C14DAE">
      <w:pPr>
        <w:tabs>
          <w:tab w:val="left" w:pos="709"/>
        </w:tabs>
        <w:ind w:left="567" w:right="476"/>
        <w:jc w:val="both"/>
        <w:rPr>
          <w:rFonts w:ascii="Gadugi" w:eastAsia="Century Gothic" w:hAnsi="Gadugi" w:cs="Century Gothic"/>
          <w:i/>
          <w:sz w:val="22"/>
          <w:szCs w:val="22"/>
        </w:rPr>
      </w:pPr>
    </w:p>
    <w:p w14:paraId="54E7C74C" w14:textId="77777777" w:rsidR="00552271" w:rsidRPr="00340AE5" w:rsidRDefault="003F2C4A" w:rsidP="00C14DAE">
      <w:pPr>
        <w:tabs>
          <w:tab w:val="left" w:pos="709"/>
        </w:tabs>
        <w:ind w:left="567" w:right="476"/>
        <w:jc w:val="both"/>
        <w:rPr>
          <w:rFonts w:ascii="Gadugi" w:eastAsia="Century Gothic" w:hAnsi="Gadugi" w:cs="Century Gothic"/>
          <w:i/>
          <w:sz w:val="22"/>
          <w:szCs w:val="22"/>
        </w:rPr>
      </w:pPr>
      <w:r w:rsidRPr="00340AE5">
        <w:rPr>
          <w:rFonts w:ascii="Gadugi" w:eastAsia="Century Gothic" w:hAnsi="Gadugi" w:cs="Century Gothic"/>
          <w:i/>
          <w:sz w:val="22"/>
          <w:szCs w:val="22"/>
        </w:rPr>
        <w:t>En ese sentido, la parte interesada en que se adelante este procedimiento accesorio deberá presentar una solicitud incidental dentro de los treinta días siguientes a la ejecutoria del fallo respectivo, en aplicación analógica de lo dispuesto en el artículo 283 del Código General del Proceso, debiéndose precisar que, dadas las condiciones especiales de este tipo de asuntos, el derecho de reparación de la víctima no se extinguirá en caso de no presentar ese reclamo incidental en el término anotado. En este supuesto, simplemente tendrá que acudir a las otras vías procesales que dispone el ordenamiento para obtener su reparación. Ahora bien, en la referida solicitud deberán especificarse las pretensiones de reparación de la víctima, y de ser necesario, tendrán que precisarse los alcances de los actos de maltrato o de las secuelas dañosas padecidas, así como la solicitud de pruebas que pretendan hacerse valer, debiéndose insistir en la posibilidad de que el juez y las partes se sirvan de todas las evidencias que se practicaron durante el juicio de existencia de unión marital de hecho. De aquel escrito se correrá traslado a la contraparte, por el término que establece el artículo 129 del Código General del Proceso, con el propósito de que ejerza su derecho de defensa en la forma que estime pertinente.</w:t>
      </w:r>
    </w:p>
    <w:p w14:paraId="5AD5800E" w14:textId="77777777" w:rsidR="00552271" w:rsidRPr="00340AE5" w:rsidRDefault="00552271" w:rsidP="00C14DAE">
      <w:pPr>
        <w:tabs>
          <w:tab w:val="left" w:pos="709"/>
        </w:tabs>
        <w:ind w:left="567" w:right="476"/>
        <w:jc w:val="both"/>
        <w:rPr>
          <w:rFonts w:ascii="Gadugi" w:eastAsia="Century Gothic" w:hAnsi="Gadugi" w:cs="Century Gothic"/>
          <w:i/>
          <w:sz w:val="22"/>
          <w:szCs w:val="22"/>
        </w:rPr>
      </w:pPr>
    </w:p>
    <w:p w14:paraId="4B9E83EF" w14:textId="77777777" w:rsidR="00552271" w:rsidRPr="00340AE5" w:rsidRDefault="003F2C4A" w:rsidP="00C14DAE">
      <w:pPr>
        <w:tabs>
          <w:tab w:val="left" w:pos="709"/>
        </w:tabs>
        <w:ind w:left="567" w:right="476"/>
        <w:jc w:val="both"/>
        <w:rPr>
          <w:rFonts w:ascii="Gadugi" w:eastAsia="Century Gothic" w:hAnsi="Gadugi" w:cs="Century Gothic"/>
          <w:i/>
          <w:sz w:val="22"/>
          <w:szCs w:val="22"/>
        </w:rPr>
      </w:pPr>
      <w:r w:rsidRPr="00340AE5">
        <w:rPr>
          <w:rFonts w:ascii="Gadugi" w:eastAsia="Century Gothic" w:hAnsi="Gadugi" w:cs="Century Gothic"/>
          <w:i/>
          <w:sz w:val="22"/>
          <w:szCs w:val="22"/>
        </w:rPr>
        <w:t>Vencido el plazo de traslado, el fallador convocará a audiencia mediante auto, en el que decretará las pruebas solicitadas por las partes –a condición de que estas sean conducentes, pertinentes y útiles para esclarecer las variables de la responsabilidad civil por la que se averigua–, así como las que de oficio estime necesarias para clarificar el panorama fáctico. En esa audiencia, procederá en la forma indicada en el artículo 373 del Código General del Proceso, de modo que tras practicar las pruebas y oír los alegatos de los litigantes, dictará sentencia, la cual es pasible de los recursos que prevén las normas ordinarias. De esta forma, el juez de la causa podrá determinar la existencia y entidad del daño causado, y ordenar las reparaciones que en derecho correspondan, con plenas garantías de defensa y</w:t>
      </w:r>
      <w:r w:rsidR="00D2146A" w:rsidRPr="00340AE5">
        <w:rPr>
          <w:rFonts w:ascii="Gadugi" w:eastAsia="Century Gothic" w:hAnsi="Gadugi" w:cs="Century Gothic"/>
          <w:i/>
          <w:sz w:val="22"/>
          <w:szCs w:val="22"/>
        </w:rPr>
        <w:t xml:space="preserve"> contradicción para las partes.”</w:t>
      </w:r>
    </w:p>
    <w:p w14:paraId="1B38426A" w14:textId="77777777" w:rsidR="00552271" w:rsidRPr="00340AE5" w:rsidRDefault="00552271" w:rsidP="00C14DAE">
      <w:pPr>
        <w:tabs>
          <w:tab w:val="left" w:pos="709"/>
        </w:tabs>
        <w:ind w:left="900" w:right="476"/>
        <w:jc w:val="both"/>
        <w:rPr>
          <w:rFonts w:ascii="Gadugi" w:eastAsia="Century Gothic" w:hAnsi="Gadugi" w:cs="Century Gothic"/>
          <w:i/>
          <w:sz w:val="22"/>
          <w:szCs w:val="22"/>
        </w:rPr>
      </w:pPr>
    </w:p>
    <w:p w14:paraId="5858A723"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Esta vía incidental, desde ese momento ha operado en todos aquellos casos en los que se declara la cesación de los efectos civiles del matrimonio católico o el divorcio del matrimonio civil por la causal tercera, esto es, los ultrajes, el trato cruel y los maltratamientos de obra, dentro de la cual se encuadra la violencia intrafamiliar y/o de género en el marco de las relaciones familiares. </w:t>
      </w:r>
    </w:p>
    <w:p w14:paraId="5C10C041" w14:textId="77777777" w:rsidR="00552271" w:rsidRPr="00340AE5" w:rsidRDefault="00552271">
      <w:pPr>
        <w:jc w:val="both"/>
        <w:rPr>
          <w:rFonts w:ascii="Gadugi" w:eastAsia="Century Gothic" w:hAnsi="Gadugi" w:cs="Century Gothic"/>
          <w:sz w:val="22"/>
          <w:szCs w:val="22"/>
        </w:rPr>
      </w:pPr>
    </w:p>
    <w:p w14:paraId="09AC75F4"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De este modo, ha operado la solución jurisprudencial en concordancia con la normativa nacional e internacional y la obligación de los operadores jurídicos de aplicar el enfoque de género como herramienta para identificar las posibles violencias contra la mujer basadas en el género, y garantizar la reparación integral de las víctimas por parte de sus agresores. </w:t>
      </w:r>
    </w:p>
    <w:p w14:paraId="3835BA2D" w14:textId="77777777" w:rsidR="00552271" w:rsidRPr="00340AE5" w:rsidRDefault="00552271">
      <w:pPr>
        <w:jc w:val="both"/>
        <w:rPr>
          <w:rFonts w:ascii="Gadugi" w:eastAsia="Century Gothic" w:hAnsi="Gadugi" w:cs="Century Gothic"/>
          <w:sz w:val="22"/>
          <w:szCs w:val="22"/>
        </w:rPr>
      </w:pPr>
    </w:p>
    <w:p w14:paraId="00343475" w14:textId="77777777" w:rsidR="00552271" w:rsidRPr="00340AE5" w:rsidRDefault="003F2C4A">
      <w:pPr>
        <w:jc w:val="both"/>
        <w:rPr>
          <w:rFonts w:ascii="Gadugi" w:eastAsia="Century Gothic" w:hAnsi="Gadugi" w:cs="Century Gothic"/>
          <w:b/>
          <w:sz w:val="22"/>
          <w:szCs w:val="22"/>
        </w:rPr>
      </w:pPr>
      <w:r w:rsidRPr="00340AE5">
        <w:rPr>
          <w:rFonts w:ascii="Gadugi" w:eastAsia="Century Gothic" w:hAnsi="Gadugi" w:cs="Century Gothic"/>
          <w:b/>
          <w:sz w:val="22"/>
          <w:szCs w:val="22"/>
        </w:rPr>
        <w:t xml:space="preserve">Corte Suprema de Justicia, STC4283-2022, Magistrado ponente: Octavio Augusto </w:t>
      </w:r>
      <w:proofErr w:type="spellStart"/>
      <w:r w:rsidRPr="00340AE5">
        <w:rPr>
          <w:rFonts w:ascii="Gadugi" w:eastAsia="Century Gothic" w:hAnsi="Gadugi" w:cs="Century Gothic"/>
          <w:b/>
          <w:sz w:val="22"/>
          <w:szCs w:val="22"/>
        </w:rPr>
        <w:t>Tejeiro</w:t>
      </w:r>
      <w:proofErr w:type="spellEnd"/>
      <w:r w:rsidRPr="00340AE5">
        <w:rPr>
          <w:rFonts w:ascii="Gadugi" w:eastAsia="Century Gothic" w:hAnsi="Gadugi" w:cs="Century Gothic"/>
          <w:b/>
          <w:sz w:val="22"/>
          <w:szCs w:val="22"/>
        </w:rPr>
        <w:t xml:space="preserve"> Duque: </w:t>
      </w:r>
    </w:p>
    <w:p w14:paraId="6DCD1364" w14:textId="77777777" w:rsidR="00552271" w:rsidRPr="00340AE5" w:rsidRDefault="00552271">
      <w:pPr>
        <w:jc w:val="both"/>
        <w:rPr>
          <w:rFonts w:ascii="Gadugi" w:eastAsia="Century Gothic" w:hAnsi="Gadugi" w:cs="Century Gothic"/>
          <w:b/>
          <w:sz w:val="22"/>
          <w:szCs w:val="22"/>
        </w:rPr>
      </w:pPr>
    </w:p>
    <w:p w14:paraId="6F6DC795"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En este caso, la Corte Suprema de Justicia analizó el caso de una accionante que pidió dejar sin efectos el auto que desestimó su petición de adición a la sentencia que resolvió en segunda instancia. Su argumento es que el juez desconoció el precedente constitucional que faculta la obtención del reconocimiento y pago de perjuicios derivados de la violencia intrafamiliar padecida durante el vínculo matrimonial.</w:t>
      </w:r>
    </w:p>
    <w:p w14:paraId="618E88B3"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las consideraciones, la Corte aclara que existen varios precedentes sobre la responsabilidad civil derivada de las violencias en las relaciones familiares, en concreto, en las uniones matrimoniales y las maritales de hecho. </w:t>
      </w:r>
    </w:p>
    <w:p w14:paraId="341F38AF"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concreto, para el presente proyecto de ley resulta relevante la siguiente consideración: </w:t>
      </w:r>
    </w:p>
    <w:p w14:paraId="2CCE5C81" w14:textId="77777777" w:rsidR="00552271" w:rsidRPr="00340AE5" w:rsidRDefault="003F2C4A" w:rsidP="00C14DAE">
      <w:pPr>
        <w:tabs>
          <w:tab w:val="left" w:pos="851"/>
        </w:tabs>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“(...)estas Magistraturas han identificado en los pronunciamientos referenciados que las «problemáticas de violencia intrafamiliar o de género» y el eventual reconocimiento de perjuicios que de ellas se deriva, no pueden ser ajenas a los litigios donde resultaron acreditadas, sino en «un espacio adicional, para determinar con plenas garantías la reparación integral a la que tendrá derecho la víctima»; lo anterior conforme a tratados y convenios internacionales que sobre la materia particular se han pronunciado, en particular, la Convención Interamericana para Prevenir, Sancionar y Erradicar la Violencia contra la Mujer «Convención de Belém do Pará».</w:t>
      </w:r>
    </w:p>
    <w:p w14:paraId="03BF8CEB" w14:textId="77777777" w:rsidR="00552271" w:rsidRPr="00340AE5" w:rsidRDefault="003F2C4A" w:rsidP="00C14DAE">
      <w:pPr>
        <w:tabs>
          <w:tab w:val="left" w:pos="851"/>
        </w:tabs>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Del análisis jurisprudencial en comento, resulta dable concluir que tratándose de actos de violencia doméstica ocurridos dentro de los vínculos matrimoniales o de hecho, «(i) las víctimas (…) tienen derecho a una reparación integral; (ii) no existen mecanismos procesales para reclamar esa reparación al interior de los juicios [declarativos] (…), lo que se traduce en un inaceptable déficit de protección para esas víctimas; y (iii) ese déficit debe superarse habilitando un trámite incidental de reparación». Sobre esa base, se precisó que en ese tipo de situaciones resultaban aplicables «las mismas pautas generales que se emplearían para cualquier otro conflicto donde opere la responsabilidad civil extracontractual”.</w:t>
      </w:r>
    </w:p>
    <w:p w14:paraId="668DD4DB" w14:textId="77777777" w:rsidR="00552271" w:rsidRPr="00340AE5" w:rsidRDefault="003F2C4A">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ese sentido, la Corte Suprema de Justicia reconoce y reitera la procedencia de la reparación integral ante los daños que resultan de las violencias ocurridas en los vínculos familiares. Adicionalmente, enfatiza en el vacío y déficit de protección en la normatividad actual y la importancia de suplirla con </w:t>
      </w:r>
      <w:r w:rsidR="00A72A7B" w:rsidRPr="00340AE5">
        <w:rPr>
          <w:rFonts w:ascii="Gadugi" w:eastAsia="Century Gothic" w:hAnsi="Gadugi" w:cs="Century Gothic"/>
          <w:sz w:val="22"/>
          <w:szCs w:val="22"/>
        </w:rPr>
        <w:t>las pautas</w:t>
      </w:r>
      <w:r w:rsidRPr="00340AE5">
        <w:rPr>
          <w:rFonts w:ascii="Gadugi" w:eastAsia="Century Gothic" w:hAnsi="Gadugi" w:cs="Century Gothic"/>
          <w:sz w:val="22"/>
          <w:szCs w:val="22"/>
        </w:rPr>
        <w:t xml:space="preserve"> de la responsabilidad civil extracontractual. Es decir, de contar con un mecanismo procesal que reconoce esta facultad de solicitar la reparación por los daños sufridos por violencias en el contexto familiar. </w:t>
      </w:r>
    </w:p>
    <w:p w14:paraId="6A2BCC51" w14:textId="77777777" w:rsidR="00552271" w:rsidRPr="00340AE5" w:rsidRDefault="00552271">
      <w:pPr>
        <w:jc w:val="both"/>
        <w:rPr>
          <w:rFonts w:ascii="Gadugi" w:eastAsia="Century Gothic" w:hAnsi="Gadugi" w:cs="Century Gothic"/>
          <w:sz w:val="22"/>
          <w:szCs w:val="22"/>
        </w:rPr>
      </w:pPr>
    </w:p>
    <w:p w14:paraId="2D4A3BCF" w14:textId="77777777" w:rsidR="00552271" w:rsidRPr="00340AE5" w:rsidRDefault="003F2C4A">
      <w:pPr>
        <w:jc w:val="both"/>
        <w:rPr>
          <w:rFonts w:ascii="Gadugi" w:eastAsia="Century Gothic" w:hAnsi="Gadugi" w:cs="Century Gothic"/>
          <w:b/>
          <w:sz w:val="22"/>
          <w:szCs w:val="22"/>
        </w:rPr>
      </w:pPr>
      <w:r w:rsidRPr="00340AE5">
        <w:rPr>
          <w:rFonts w:ascii="Gadugi" w:eastAsia="Century Gothic" w:hAnsi="Gadugi" w:cs="Century Gothic"/>
          <w:b/>
          <w:sz w:val="22"/>
          <w:szCs w:val="22"/>
        </w:rPr>
        <w:t>4.6 Experiencia comparada frente a la reparación integral de las violencias de género.</w:t>
      </w:r>
    </w:p>
    <w:p w14:paraId="13E53BC2" w14:textId="77777777" w:rsidR="00552271" w:rsidRPr="00340AE5" w:rsidRDefault="00552271">
      <w:pPr>
        <w:jc w:val="both"/>
        <w:rPr>
          <w:rFonts w:ascii="Gadugi" w:eastAsia="Century Gothic" w:hAnsi="Gadugi" w:cs="Century Gothic"/>
          <w:b/>
          <w:sz w:val="22"/>
          <w:szCs w:val="22"/>
        </w:rPr>
      </w:pPr>
    </w:p>
    <w:p w14:paraId="5C3246DC" w14:textId="77777777" w:rsidR="00552271" w:rsidRPr="00340AE5" w:rsidRDefault="003F2C4A">
      <w:pPr>
        <w:numPr>
          <w:ilvl w:val="0"/>
          <w:numId w:val="12"/>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Italia</w:t>
      </w:r>
    </w:p>
    <w:p w14:paraId="0FD54768" w14:textId="77777777" w:rsidR="00552271" w:rsidRPr="00340AE5" w:rsidRDefault="003F2C4A">
      <w:pPr>
        <w:spacing w:line="276" w:lineRule="auto"/>
        <w:ind w:left="360"/>
        <w:jc w:val="both"/>
        <w:rPr>
          <w:rFonts w:ascii="Gadugi" w:eastAsia="Century Gothic" w:hAnsi="Gadugi" w:cs="Century Gothic"/>
          <w:sz w:val="22"/>
          <w:szCs w:val="22"/>
        </w:rPr>
      </w:pPr>
      <w:r w:rsidRPr="00340AE5">
        <w:rPr>
          <w:rFonts w:ascii="Gadugi" w:eastAsia="Century Gothic" w:hAnsi="Gadugi" w:cs="Century Gothic"/>
          <w:sz w:val="22"/>
          <w:szCs w:val="22"/>
        </w:rPr>
        <w:t>Teniendo en cuenta que el Ordenamiento Jurídico Italiano comparte características similares al Ordenamiento Jurídico Colombiano, debido a que ambos pertenecen a la misma tradición jurídica, romano-germánico, además porque en Italia es un país donde se ha legislado sobre los daños producidos por la violencia intrafamiliar y por lo que nos permitimos traerlo a colación.</w:t>
      </w:r>
    </w:p>
    <w:p w14:paraId="04212053" w14:textId="77777777" w:rsidR="00552271" w:rsidRPr="00340AE5" w:rsidRDefault="00552271">
      <w:pPr>
        <w:spacing w:line="276" w:lineRule="auto"/>
        <w:ind w:left="360"/>
        <w:jc w:val="both"/>
        <w:rPr>
          <w:rFonts w:ascii="Gadugi" w:eastAsia="Century Gothic" w:hAnsi="Gadugi" w:cs="Century Gothic"/>
          <w:sz w:val="22"/>
          <w:szCs w:val="22"/>
        </w:rPr>
      </w:pPr>
    </w:p>
    <w:p w14:paraId="05E1C4D5" w14:textId="77777777" w:rsidR="00552271" w:rsidRPr="00340AE5"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Violencia Intrafamiliar</w:t>
      </w:r>
    </w:p>
    <w:p w14:paraId="4148C717" w14:textId="77777777" w:rsidR="00552271" w:rsidRPr="00340AE5" w:rsidRDefault="003F2C4A">
      <w:pPr>
        <w:spacing w:line="276" w:lineRule="auto"/>
        <w:ind w:left="360"/>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el Ordenamiento Jurídico italiano hay falta de reconocimiento unívoco sobre la violencia intrafamiliar; el legislador no ha establecido una definición de lo que consiste; por </w:t>
      </w:r>
      <w:proofErr w:type="gramStart"/>
      <w:r w:rsidRPr="00340AE5">
        <w:rPr>
          <w:rFonts w:ascii="Gadugi" w:eastAsia="Century Gothic" w:hAnsi="Gadugi" w:cs="Century Gothic"/>
          <w:sz w:val="22"/>
          <w:szCs w:val="22"/>
        </w:rPr>
        <w:t>tanto</w:t>
      </w:r>
      <w:proofErr w:type="gramEnd"/>
      <w:r w:rsidRPr="00340AE5">
        <w:rPr>
          <w:rFonts w:ascii="Gadugi" w:eastAsia="Century Gothic" w:hAnsi="Gadugi" w:cs="Century Gothic"/>
          <w:sz w:val="22"/>
          <w:szCs w:val="22"/>
        </w:rPr>
        <w:t xml:space="preserve"> la determinación jurídica ha estado en cabeza principalmente de la jurisprudencia y la doctrina.</w:t>
      </w:r>
    </w:p>
    <w:p w14:paraId="200AA189" w14:textId="77777777" w:rsidR="00552271" w:rsidRPr="00340AE5" w:rsidRDefault="003F2C4A">
      <w:pPr>
        <w:spacing w:line="276" w:lineRule="auto"/>
        <w:ind w:left="360"/>
        <w:jc w:val="both"/>
        <w:rPr>
          <w:rFonts w:ascii="Gadugi" w:eastAsia="Century Gothic" w:hAnsi="Gadugi" w:cs="Century Gothic"/>
          <w:sz w:val="22"/>
          <w:szCs w:val="22"/>
        </w:rPr>
      </w:pPr>
      <w:r w:rsidRPr="00340AE5">
        <w:rPr>
          <w:rFonts w:ascii="Gadugi" w:eastAsia="Century Gothic" w:hAnsi="Gadugi" w:cs="Century Gothic"/>
          <w:sz w:val="22"/>
          <w:szCs w:val="22"/>
        </w:rPr>
        <w:t>Igualmente, se debe tener en cuenta que la violencia que se presenta en la familia también se puede traducir en agresiones sexuales, psicológicas o de tipo económico. El principal reto que impone esta diversificación de la violencia es el de su identificación porque, a diferencia de la violencia física, las señales de esas otras formas de agresión son más difíciles de descubrir.</w:t>
      </w:r>
    </w:p>
    <w:p w14:paraId="52E3D8FD" w14:textId="77777777" w:rsidR="00552271" w:rsidRPr="00340AE5" w:rsidRDefault="00552271">
      <w:pPr>
        <w:spacing w:line="276" w:lineRule="auto"/>
        <w:ind w:left="360"/>
        <w:jc w:val="both"/>
        <w:rPr>
          <w:rFonts w:ascii="Gadugi" w:eastAsia="Century Gothic" w:hAnsi="Gadugi" w:cs="Century Gothic"/>
          <w:sz w:val="22"/>
          <w:szCs w:val="22"/>
        </w:rPr>
      </w:pPr>
    </w:p>
    <w:p w14:paraId="0A08420C" w14:textId="77777777" w:rsidR="00552271" w:rsidRPr="00340AE5"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Las violencias y el derecho penal italiano</w:t>
      </w:r>
    </w:p>
    <w:p w14:paraId="79DA7B8E" w14:textId="77777777" w:rsidR="00552271" w:rsidRPr="00340AE5" w:rsidRDefault="003F2C4A">
      <w:pPr>
        <w:spacing w:line="276" w:lineRule="auto"/>
        <w:ind w:left="360"/>
        <w:jc w:val="both"/>
        <w:rPr>
          <w:rFonts w:ascii="Gadugi" w:eastAsia="Century Gothic" w:hAnsi="Gadugi" w:cs="Century Gothic"/>
          <w:sz w:val="22"/>
          <w:szCs w:val="22"/>
        </w:rPr>
      </w:pPr>
      <w:r w:rsidRPr="00340AE5">
        <w:rPr>
          <w:rFonts w:ascii="Gadugi" w:eastAsia="Century Gothic" w:hAnsi="Gadugi" w:cs="Century Gothic"/>
          <w:sz w:val="22"/>
          <w:szCs w:val="22"/>
        </w:rPr>
        <w:t>En el Ordenamiento Jurídico italiano, la violencia intrafamiliar se encuentra tipificada como delito. En el Código Penal Italiano, se permite evidenciar una serie de conductas calificadas como tipos penales que sancionan, principalmente con pena de prisión, la práctica de distintos tipos de violencia:</w:t>
      </w:r>
    </w:p>
    <w:p w14:paraId="4DC2F570"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Incesto</w:t>
      </w:r>
    </w:p>
    <w:p w14:paraId="4B4EB775"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Abuso de medios de corrección o disciplina</w:t>
      </w:r>
    </w:p>
    <w:p w14:paraId="25E0E151"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Maltratos contra familiares y convivientes</w:t>
      </w:r>
    </w:p>
    <w:p w14:paraId="3F30A3C9"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Golpiza</w:t>
      </w:r>
    </w:p>
    <w:p w14:paraId="48083B2C"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Lesiones Personales</w:t>
      </w:r>
    </w:p>
    <w:p w14:paraId="7ED2E910"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 xml:space="preserve">Injuria </w:t>
      </w:r>
    </w:p>
    <w:p w14:paraId="7C440218"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Difamación</w:t>
      </w:r>
    </w:p>
    <w:p w14:paraId="58115983"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Reducción o mantenimiento en esclavitud</w:t>
      </w:r>
    </w:p>
    <w:p w14:paraId="2CA3EE1A"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Prostitución en menor de edad</w:t>
      </w:r>
    </w:p>
    <w:p w14:paraId="27F22A6C"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Pornografía Infantil</w:t>
      </w:r>
    </w:p>
    <w:p w14:paraId="105235F2"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Posesión de material pornográfico realizado con menores de edad</w:t>
      </w:r>
    </w:p>
    <w:p w14:paraId="3CEC4E0B"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Trata de personas</w:t>
      </w:r>
    </w:p>
    <w:p w14:paraId="507AE0A0"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Adquisición y enajenación de esclavos</w:t>
      </w:r>
    </w:p>
    <w:p w14:paraId="150831CB"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Secuestro</w:t>
      </w:r>
    </w:p>
    <w:p w14:paraId="766B0026"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Violencia Sexual</w:t>
      </w:r>
    </w:p>
    <w:p w14:paraId="01F1B5FB"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Actos sexuales con menor de edad</w:t>
      </w:r>
    </w:p>
    <w:p w14:paraId="30DF218C"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Corrupción de menor de edad</w:t>
      </w:r>
    </w:p>
    <w:p w14:paraId="7B16B6A6"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Violencia sexual de grupo</w:t>
      </w:r>
    </w:p>
    <w:p w14:paraId="3169F764"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Violencia privada</w:t>
      </w:r>
    </w:p>
    <w:p w14:paraId="49447F2F" w14:textId="77777777" w:rsidR="00552271" w:rsidRPr="00340AE5"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Amenaza</w:t>
      </w:r>
    </w:p>
    <w:p w14:paraId="63D00F54" w14:textId="77777777" w:rsidR="00552271" w:rsidRPr="00340AE5" w:rsidRDefault="003F2C4A">
      <w:pPr>
        <w:numPr>
          <w:ilvl w:val="0"/>
          <w:numId w:val="3"/>
        </w:numPr>
        <w:pBdr>
          <w:top w:val="nil"/>
          <w:left w:val="nil"/>
          <w:bottom w:val="nil"/>
          <w:right w:val="nil"/>
          <w:between w:val="nil"/>
        </w:pBdr>
        <w:spacing w:after="160"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Actos Persecutorios</w:t>
      </w:r>
    </w:p>
    <w:p w14:paraId="3FE900E0"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Entre los mencionados delitos contra la familia, se puede evidenciar que hay delitos donde se despliegan conductas en forma de violencia física, otros que atentan contra la integridad moral, la libertad, ciertamente hay delitos con circunstancia de agravación donde el sujeto pasivo sea un miembro de la familia.</w:t>
      </w:r>
    </w:p>
    <w:p w14:paraId="68D378C6" w14:textId="77777777" w:rsidR="00552271" w:rsidRPr="00340AE5" w:rsidRDefault="00552271">
      <w:pPr>
        <w:spacing w:line="276" w:lineRule="auto"/>
        <w:jc w:val="both"/>
        <w:rPr>
          <w:rFonts w:ascii="Gadugi" w:eastAsia="Century Gothic" w:hAnsi="Gadugi" w:cs="Century Gothic"/>
          <w:sz w:val="22"/>
          <w:szCs w:val="22"/>
        </w:rPr>
      </w:pPr>
    </w:p>
    <w:p w14:paraId="13CD373F" w14:textId="77777777" w:rsidR="00552271" w:rsidRPr="00340AE5"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Violencias, derecho de familia italiano y órdenes de protección contra los abusos familiares</w:t>
      </w:r>
    </w:p>
    <w:p w14:paraId="42CD3445"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En el derecho de familia italiano se prevé la indemnización de perjuicios de forma compensatoria por daños generados con ocasión a las relaciones familiares en el artículo 779 del Código de Procedimiento Civil Italiano:</w:t>
      </w:r>
    </w:p>
    <w:p w14:paraId="555B0060" w14:textId="77777777" w:rsidR="00552271" w:rsidRPr="00340AE5" w:rsidRDefault="00552271">
      <w:pPr>
        <w:spacing w:line="276" w:lineRule="auto"/>
        <w:jc w:val="both"/>
        <w:rPr>
          <w:rFonts w:ascii="Gadugi" w:eastAsia="Century Gothic" w:hAnsi="Gadugi" w:cs="Century Gothic"/>
          <w:sz w:val="22"/>
          <w:szCs w:val="22"/>
        </w:rPr>
      </w:pPr>
    </w:p>
    <w:p w14:paraId="1F2A3D64" w14:textId="77777777" w:rsidR="00552271" w:rsidRPr="00340AE5" w:rsidRDefault="003F2C4A" w:rsidP="00C14DAE">
      <w:pPr>
        <w:tabs>
          <w:tab w:val="left" w:pos="851"/>
        </w:tabs>
        <w:spacing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Para la solución de las controversias elevadas entre los padres, orientadas al ejercicio de la responsabilidad parental o de las modalidades de custodia, es competente el juez del procedimiento en curso. Para los procedimientos referidos en el artículo 710 es competente el tribunal de residencia del menor.</w:t>
      </w:r>
    </w:p>
    <w:p w14:paraId="3281E8FD" w14:textId="77777777" w:rsidR="00552271" w:rsidRPr="00340AE5" w:rsidRDefault="00552271" w:rsidP="00C14DAE">
      <w:pPr>
        <w:tabs>
          <w:tab w:val="left" w:pos="851"/>
        </w:tabs>
        <w:spacing w:line="276" w:lineRule="auto"/>
        <w:ind w:left="567" w:right="618"/>
        <w:jc w:val="both"/>
        <w:rPr>
          <w:rFonts w:ascii="Gadugi" w:eastAsia="Century Gothic" w:hAnsi="Gadugi" w:cs="Century Gothic"/>
          <w:i/>
          <w:sz w:val="22"/>
          <w:szCs w:val="22"/>
        </w:rPr>
      </w:pPr>
    </w:p>
    <w:p w14:paraId="3CD40C93" w14:textId="77777777" w:rsidR="00552271" w:rsidRPr="00340AE5" w:rsidRDefault="003F2C4A" w:rsidP="00C14DAE">
      <w:pPr>
        <w:tabs>
          <w:tab w:val="left" w:pos="851"/>
        </w:tabs>
        <w:spacing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A continuación del recurso, el juez convoca a las partes y adopta las medidas oportunas. En caso de graves incumplimientos o de actos que causen perjuicio al menor u obstaculicen la correcta ejecución de la modalidad de custodia, puede modificar las medidas en vigor y puede, también, conjuntamente:</w:t>
      </w:r>
      <w:r w:rsidR="00D2146A" w:rsidRPr="00340AE5">
        <w:rPr>
          <w:rFonts w:ascii="Gadugi" w:eastAsia="Century Gothic" w:hAnsi="Gadugi" w:cs="Century Gothic"/>
          <w:i/>
          <w:sz w:val="22"/>
          <w:szCs w:val="22"/>
        </w:rPr>
        <w:br/>
      </w:r>
    </w:p>
    <w:p w14:paraId="2DF33500" w14:textId="77777777" w:rsidR="00552271" w:rsidRPr="00340AE5" w:rsidRDefault="003F2C4A" w:rsidP="00C14DAE">
      <w:pPr>
        <w:tabs>
          <w:tab w:val="left" w:pos="851"/>
        </w:tabs>
        <w:spacing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1) amonestar al padre incumplido;</w:t>
      </w:r>
    </w:p>
    <w:p w14:paraId="6645136B" w14:textId="77777777" w:rsidR="00552271" w:rsidRPr="00340AE5" w:rsidRDefault="003F2C4A" w:rsidP="00C14DAE">
      <w:pPr>
        <w:tabs>
          <w:tab w:val="left" w:pos="851"/>
        </w:tabs>
        <w:spacing w:line="276" w:lineRule="auto"/>
        <w:ind w:left="567" w:right="618"/>
        <w:jc w:val="both"/>
        <w:rPr>
          <w:rFonts w:ascii="Gadugi" w:eastAsia="Century Gothic" w:hAnsi="Gadugi" w:cs="Century Gothic"/>
          <w:b/>
          <w:i/>
          <w:sz w:val="22"/>
          <w:szCs w:val="22"/>
          <w:u w:val="single"/>
        </w:rPr>
      </w:pPr>
      <w:bookmarkStart w:id="27" w:name="_heading=h.4d34og8" w:colFirst="0" w:colLast="0"/>
      <w:bookmarkEnd w:id="27"/>
      <w:r w:rsidRPr="00340AE5">
        <w:rPr>
          <w:rFonts w:ascii="Gadugi" w:eastAsia="Century Gothic" w:hAnsi="Gadugi" w:cs="Century Gothic"/>
          <w:b/>
          <w:i/>
          <w:sz w:val="22"/>
          <w:szCs w:val="22"/>
          <w:u w:val="single"/>
        </w:rPr>
        <w:t>2) disponer el resarcimiento de los daños, a cargo de uno de los padres, frente al menor;</w:t>
      </w:r>
    </w:p>
    <w:p w14:paraId="0306E896" w14:textId="77777777" w:rsidR="00552271" w:rsidRPr="00340AE5" w:rsidRDefault="003F2C4A" w:rsidP="00C14DAE">
      <w:pPr>
        <w:tabs>
          <w:tab w:val="left" w:pos="851"/>
        </w:tabs>
        <w:spacing w:line="276" w:lineRule="auto"/>
        <w:ind w:left="567" w:right="618"/>
        <w:jc w:val="both"/>
        <w:rPr>
          <w:rFonts w:ascii="Gadugi" w:eastAsia="Century Gothic" w:hAnsi="Gadugi" w:cs="Century Gothic"/>
          <w:b/>
          <w:i/>
          <w:sz w:val="22"/>
          <w:szCs w:val="22"/>
          <w:u w:val="single"/>
        </w:rPr>
      </w:pPr>
      <w:r w:rsidRPr="00340AE5">
        <w:rPr>
          <w:rFonts w:ascii="Gadugi" w:eastAsia="Century Gothic" w:hAnsi="Gadugi" w:cs="Century Gothic"/>
          <w:b/>
          <w:i/>
          <w:sz w:val="22"/>
          <w:szCs w:val="22"/>
          <w:u w:val="single"/>
        </w:rPr>
        <w:t xml:space="preserve">3) disponer el resarcimiento de los daños a cargo de uno de los padres frente al otro, incluso indicando la suma diaria debida por cada día de violación o de inobservancia de las medidas tomadas por el juez. La providencia del juez constituye </w:t>
      </w:r>
      <w:r w:rsidR="00D2146A" w:rsidRPr="00340AE5">
        <w:rPr>
          <w:rFonts w:ascii="Gadugi" w:eastAsia="Century Gothic" w:hAnsi="Gadugi" w:cs="Century Gothic"/>
          <w:b/>
          <w:i/>
          <w:sz w:val="22"/>
          <w:szCs w:val="22"/>
          <w:u w:val="single"/>
        </w:rPr>
        <w:t>título</w:t>
      </w:r>
      <w:r w:rsidRPr="00340AE5">
        <w:rPr>
          <w:rFonts w:ascii="Gadugi" w:eastAsia="Century Gothic" w:hAnsi="Gadugi" w:cs="Century Gothic"/>
          <w:b/>
          <w:i/>
          <w:sz w:val="22"/>
          <w:szCs w:val="22"/>
          <w:u w:val="single"/>
        </w:rPr>
        <w:t xml:space="preserve"> ejecutivo para el pago de las sumas debidas por cada violación o inobservancia, tal como indica el artículo 614-bis;</w:t>
      </w:r>
    </w:p>
    <w:p w14:paraId="3B156782" w14:textId="77777777" w:rsidR="00552271" w:rsidRPr="00340AE5" w:rsidRDefault="003F2C4A" w:rsidP="00C14DAE">
      <w:pPr>
        <w:tabs>
          <w:tab w:val="left" w:pos="851"/>
        </w:tabs>
        <w:spacing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4) condenar al padre incumplido al pago de una sanción administrativa pecuniaria, de un mínimo de 75 euros a un máximo de 5000 euros a favor de la Caja de Multas.</w:t>
      </w:r>
    </w:p>
    <w:p w14:paraId="3F30B5BA" w14:textId="77777777" w:rsidR="00552271" w:rsidRPr="00340AE5" w:rsidRDefault="003F2C4A" w:rsidP="00C14DAE">
      <w:pPr>
        <w:tabs>
          <w:tab w:val="left" w:pos="851"/>
        </w:tabs>
        <w:spacing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Las medidas tomadas por el juez del procedimiento son impugnables por los medios ordinarios.</w:t>
      </w:r>
    </w:p>
    <w:p w14:paraId="4AB886B2" w14:textId="77777777" w:rsidR="00552271" w:rsidRPr="00340AE5" w:rsidRDefault="00552271">
      <w:pPr>
        <w:spacing w:line="276" w:lineRule="auto"/>
        <w:ind w:left="708"/>
        <w:jc w:val="both"/>
        <w:rPr>
          <w:rFonts w:ascii="Gadugi" w:eastAsia="Century Gothic" w:hAnsi="Gadugi" w:cs="Century Gothic"/>
          <w:i/>
          <w:sz w:val="22"/>
          <w:szCs w:val="22"/>
        </w:rPr>
      </w:pPr>
    </w:p>
    <w:p w14:paraId="24144A9C" w14:textId="77777777" w:rsidR="00552271" w:rsidRPr="00340AE5" w:rsidRDefault="003F2C4A">
      <w:pPr>
        <w:spacing w:line="276" w:lineRule="auto"/>
        <w:jc w:val="both"/>
        <w:rPr>
          <w:rFonts w:ascii="Gadugi" w:eastAsia="Century Gothic" w:hAnsi="Gadugi" w:cs="Century Gothic"/>
          <w:sz w:val="22"/>
          <w:szCs w:val="22"/>
        </w:rPr>
      </w:pPr>
      <w:bookmarkStart w:id="28" w:name="_heading=h.2s8eyo1" w:colFirst="0" w:colLast="0"/>
      <w:bookmarkEnd w:id="28"/>
      <w:r w:rsidRPr="00340AE5">
        <w:rPr>
          <w:rFonts w:ascii="Gadugi" w:eastAsia="Century Gothic" w:hAnsi="Gadugi" w:cs="Century Gothic"/>
          <w:sz w:val="22"/>
          <w:szCs w:val="22"/>
        </w:rPr>
        <w:t>Por tanto, se puede señalar que es una figura compensatoria, donde se refleja que el incumplimiento de los deberes que tienen los padres frente a los hijos; igualmente, se prevé que frente a la inobservancia de las medidas que hayan sido tomadas por el juez para conjurar los hechos de violencia intrafamiliar.</w:t>
      </w:r>
    </w:p>
    <w:p w14:paraId="397F0462" w14:textId="77777777" w:rsidR="00D2146A" w:rsidRPr="00340AE5" w:rsidRDefault="00D2146A">
      <w:pPr>
        <w:spacing w:line="276" w:lineRule="auto"/>
        <w:jc w:val="both"/>
        <w:rPr>
          <w:rFonts w:ascii="Gadugi" w:eastAsia="Century Gothic" w:hAnsi="Gadugi" w:cs="Century Gothic"/>
          <w:sz w:val="22"/>
          <w:szCs w:val="22"/>
        </w:rPr>
      </w:pPr>
    </w:p>
    <w:p w14:paraId="58D808E7" w14:textId="77777777" w:rsidR="00552271" w:rsidRPr="00340AE5" w:rsidRDefault="003F2C4A">
      <w:pPr>
        <w:numPr>
          <w:ilvl w:val="0"/>
          <w:numId w:val="12"/>
        </w:numPr>
        <w:pBdr>
          <w:top w:val="nil"/>
          <w:left w:val="nil"/>
          <w:bottom w:val="nil"/>
          <w:right w:val="nil"/>
          <w:between w:val="nil"/>
        </w:pBdr>
        <w:spacing w:line="276" w:lineRule="auto"/>
        <w:jc w:val="both"/>
        <w:rPr>
          <w:rFonts w:ascii="Gadugi" w:eastAsia="Century Gothic" w:hAnsi="Gadugi" w:cs="Century Gothic"/>
          <w:b/>
          <w:color w:val="000000"/>
          <w:sz w:val="22"/>
          <w:szCs w:val="22"/>
        </w:rPr>
      </w:pPr>
      <w:bookmarkStart w:id="29" w:name="_heading=h.tl1elrjwwa4m" w:colFirst="0" w:colLast="0"/>
      <w:bookmarkEnd w:id="29"/>
      <w:r w:rsidRPr="00340AE5">
        <w:rPr>
          <w:rFonts w:ascii="Gadugi" w:eastAsia="Century Gothic" w:hAnsi="Gadugi" w:cs="Century Gothic"/>
          <w:b/>
          <w:color w:val="000000"/>
          <w:sz w:val="22"/>
          <w:szCs w:val="22"/>
        </w:rPr>
        <w:t>Ecuador</w:t>
      </w:r>
    </w:p>
    <w:p w14:paraId="72DA75EF" w14:textId="77777777" w:rsidR="00552271" w:rsidRPr="00340AE5" w:rsidRDefault="003F2C4A">
      <w:pPr>
        <w:spacing w:line="276" w:lineRule="auto"/>
        <w:jc w:val="both"/>
        <w:rPr>
          <w:rFonts w:ascii="Gadugi" w:eastAsia="Century Gothic" w:hAnsi="Gadugi" w:cs="Century Gothic"/>
          <w:sz w:val="22"/>
          <w:szCs w:val="22"/>
        </w:rPr>
      </w:pPr>
      <w:bookmarkStart w:id="30" w:name="_heading=h.8gmbooizqnt5" w:colFirst="0" w:colLast="0"/>
      <w:bookmarkEnd w:id="30"/>
      <w:r w:rsidRPr="00340AE5">
        <w:rPr>
          <w:rFonts w:ascii="Gadugi" w:eastAsia="Century Gothic" w:hAnsi="Gadugi" w:cs="Century Gothic"/>
          <w:sz w:val="22"/>
          <w:szCs w:val="22"/>
        </w:rPr>
        <w:t>En Ecuador, la Constitución de 2008 estableció un modelo centrado en el reconocimiento y pleno ejercicio de los derechos constitucionales y humanos, basados en tratados internacionales. De acuerdo con Ortega Pérez y Peraza de Aparicio (2021), cualquier violación de estos derechos debe ser reparada, permitiendo que la persona afectada pueda retomar el ejercicio de sus derechos vulnerados. El Estado es responsable de canalizar el proceso de resarcimiento y vigilar su cumplimiento y ejecución.</w:t>
      </w:r>
      <w:r w:rsidRPr="00340AE5">
        <w:rPr>
          <w:rFonts w:ascii="Gadugi" w:eastAsia="Century Gothic" w:hAnsi="Gadugi" w:cs="Century Gothic"/>
          <w:sz w:val="22"/>
          <w:szCs w:val="22"/>
          <w:vertAlign w:val="superscript"/>
        </w:rPr>
        <w:footnoteReference w:id="21"/>
      </w:r>
      <w:r w:rsidRPr="00340AE5">
        <w:rPr>
          <w:rFonts w:ascii="Gadugi" w:eastAsia="Century Gothic" w:hAnsi="Gadugi" w:cs="Century Gothic"/>
          <w:sz w:val="22"/>
          <w:szCs w:val="22"/>
        </w:rPr>
        <w:t xml:space="preserve"> Abad (2020) señala que, ante violaciones de derechos constitucionales, el Estado tiene la obligación ineludible de proceder a la reparación tanto jurídica como socialmente, asegurando así la prevalencia de los derechos constitucionales.</w:t>
      </w:r>
      <w:r w:rsidRPr="00340AE5">
        <w:rPr>
          <w:rFonts w:ascii="Gadugi" w:eastAsia="Century Gothic" w:hAnsi="Gadugi" w:cs="Century Gothic"/>
          <w:sz w:val="22"/>
          <w:szCs w:val="22"/>
          <w:vertAlign w:val="superscript"/>
        </w:rPr>
        <w:footnoteReference w:id="22"/>
      </w:r>
    </w:p>
    <w:p w14:paraId="41EB40DE" w14:textId="77777777" w:rsidR="00552271" w:rsidRPr="00340AE5" w:rsidRDefault="00552271">
      <w:pPr>
        <w:spacing w:line="276" w:lineRule="auto"/>
        <w:jc w:val="both"/>
        <w:rPr>
          <w:rFonts w:ascii="Gadugi" w:eastAsia="Century Gothic" w:hAnsi="Gadugi" w:cs="Century Gothic"/>
          <w:sz w:val="22"/>
          <w:szCs w:val="22"/>
        </w:rPr>
      </w:pPr>
    </w:p>
    <w:p w14:paraId="792465FA" w14:textId="77777777" w:rsidR="00552271" w:rsidRPr="00340AE5" w:rsidRDefault="003F2C4A">
      <w:pPr>
        <w:spacing w:line="276" w:lineRule="auto"/>
        <w:jc w:val="both"/>
        <w:rPr>
          <w:rFonts w:ascii="Gadugi" w:eastAsia="Century Gothic" w:hAnsi="Gadugi" w:cs="Century Gothic"/>
          <w:sz w:val="22"/>
          <w:szCs w:val="22"/>
        </w:rPr>
      </w:pPr>
      <w:bookmarkStart w:id="31" w:name="_heading=h.l6pgczofpqlx" w:colFirst="0" w:colLast="0"/>
      <w:bookmarkEnd w:id="31"/>
      <w:r w:rsidRPr="00340AE5">
        <w:rPr>
          <w:rFonts w:ascii="Gadugi" w:eastAsia="Century Gothic" w:hAnsi="Gadugi" w:cs="Century Gothic"/>
          <w:sz w:val="22"/>
          <w:szCs w:val="22"/>
        </w:rPr>
        <w:t>La reparación integral exige que toda resolución o sentencia incluya este derecho, evaluando el impacto que provoque, así como la duración de la medida, su implementación y el seguimiento correspondiente.</w:t>
      </w:r>
      <w:r w:rsidRPr="00340AE5">
        <w:rPr>
          <w:rFonts w:ascii="Gadugi" w:eastAsia="Century Gothic" w:hAnsi="Gadugi" w:cs="Century Gothic"/>
          <w:sz w:val="22"/>
          <w:szCs w:val="22"/>
          <w:vertAlign w:val="superscript"/>
        </w:rPr>
        <w:footnoteReference w:id="23"/>
      </w:r>
      <w:r w:rsidRPr="00340AE5">
        <w:rPr>
          <w:rFonts w:ascii="Gadugi" w:eastAsia="Century Gothic" w:hAnsi="Gadugi" w:cs="Century Gothic"/>
          <w:sz w:val="22"/>
          <w:szCs w:val="22"/>
        </w:rPr>
        <w:t xml:space="preserve"> Lo anterior constituye la garantía para las víctimas de cualquier tipo de violencia, para lo cual Escudero (2013) señala lo siguiente:</w:t>
      </w:r>
    </w:p>
    <w:p w14:paraId="04692627" w14:textId="77777777" w:rsidR="00552271" w:rsidRPr="00340AE5" w:rsidRDefault="00552271" w:rsidP="00D2146A">
      <w:pPr>
        <w:spacing w:line="276" w:lineRule="auto"/>
        <w:ind w:left="567" w:right="902"/>
        <w:jc w:val="both"/>
        <w:rPr>
          <w:rFonts w:ascii="Gadugi" w:eastAsia="Century Gothic" w:hAnsi="Gadugi" w:cs="Century Gothic"/>
          <w:sz w:val="22"/>
          <w:szCs w:val="22"/>
        </w:rPr>
      </w:pPr>
    </w:p>
    <w:p w14:paraId="50E9633C" w14:textId="77777777" w:rsidR="00552271" w:rsidRPr="00340AE5" w:rsidRDefault="003F2C4A" w:rsidP="00C14DAE">
      <w:pPr>
        <w:spacing w:line="276" w:lineRule="auto"/>
        <w:ind w:left="567" w:right="618"/>
        <w:jc w:val="both"/>
        <w:rPr>
          <w:rFonts w:ascii="Gadugi" w:eastAsia="Century Gothic" w:hAnsi="Gadugi" w:cs="Century Gothic"/>
          <w:i/>
          <w:sz w:val="22"/>
          <w:szCs w:val="22"/>
        </w:rPr>
      </w:pPr>
      <w:bookmarkStart w:id="32" w:name="_heading=h.u993cfblpby1" w:colFirst="0" w:colLast="0"/>
      <w:bookmarkEnd w:id="32"/>
      <w:r w:rsidRPr="00340AE5">
        <w:rPr>
          <w:rFonts w:ascii="Gadugi" w:eastAsia="Century Gothic" w:hAnsi="Gadugi" w:cs="Century Gothic"/>
          <w:i/>
          <w:sz w:val="22"/>
          <w:szCs w:val="22"/>
        </w:rPr>
        <w:t>[…] la palabra reparación hace referencia a un amplio rango de medidas que pueden adoptarse a una violación real o potencial que abarca tanto la sustancia de la ayuda, así como el procedimiento a través del cual se la puede obtener. En esencia, no existen parámetros definidos para un único uso de la palabra, pero para efectos del reconocimiento de los Estados, se expresa como una doble obligación hacia las víctimas: para que sea posible el alivio del daño sufrido y para proporcionar un resultado final que en realidad ocupa el daño. Para decirlo de otra manera, la justicia para las víctimas exige genuinos mecanismos procesales que resulten en el alivio final y positivo de la vulneración de derechos (sustancia de la reparación) (p. 275).</w:t>
      </w:r>
      <w:r w:rsidRPr="00340AE5">
        <w:rPr>
          <w:rFonts w:ascii="Gadugi" w:eastAsia="Century Gothic" w:hAnsi="Gadugi" w:cs="Century Gothic"/>
          <w:i/>
          <w:sz w:val="22"/>
          <w:szCs w:val="22"/>
          <w:vertAlign w:val="superscript"/>
        </w:rPr>
        <w:footnoteReference w:id="24"/>
      </w:r>
    </w:p>
    <w:p w14:paraId="2490D010" w14:textId="77777777" w:rsidR="00552271" w:rsidRPr="00340AE5" w:rsidRDefault="00552271">
      <w:pPr>
        <w:spacing w:line="276" w:lineRule="auto"/>
        <w:ind w:left="720"/>
        <w:jc w:val="both"/>
        <w:rPr>
          <w:rFonts w:ascii="Gadugi" w:eastAsia="Century Gothic" w:hAnsi="Gadugi" w:cs="Century Gothic"/>
          <w:i/>
          <w:sz w:val="22"/>
          <w:szCs w:val="22"/>
        </w:rPr>
      </w:pPr>
    </w:p>
    <w:p w14:paraId="628AB26D" w14:textId="77777777" w:rsidR="00552271" w:rsidRPr="00340AE5" w:rsidRDefault="003F2C4A">
      <w:pPr>
        <w:spacing w:line="276" w:lineRule="auto"/>
        <w:jc w:val="both"/>
        <w:rPr>
          <w:rFonts w:ascii="Gadugi" w:eastAsia="Century Gothic" w:hAnsi="Gadugi" w:cs="Century Gothic"/>
          <w:sz w:val="22"/>
          <w:szCs w:val="22"/>
        </w:rPr>
      </w:pPr>
      <w:bookmarkStart w:id="33" w:name="_heading=h.id7qtp4bi7p4" w:colFirst="0" w:colLast="0"/>
      <w:bookmarkEnd w:id="33"/>
      <w:r w:rsidRPr="00340AE5">
        <w:rPr>
          <w:rFonts w:ascii="Gadugi" w:eastAsia="Century Gothic" w:hAnsi="Gadugi" w:cs="Century Gothic"/>
          <w:sz w:val="22"/>
          <w:szCs w:val="22"/>
        </w:rPr>
        <w:t>Asimismo, el Código Orgánico Integral Penal (COIP), publicado en el suplemento del registro oficial No. 180 el 10 de febrero de 2014, establece la Reparación Integral como un mecanismo de resarcimiento para las víctimas, estableciendo una nueva figura en el ordenamiento jurídico interno del país.</w:t>
      </w:r>
    </w:p>
    <w:p w14:paraId="7DEBFDC6" w14:textId="77777777" w:rsidR="00552271" w:rsidRPr="00340AE5" w:rsidRDefault="00552271">
      <w:pPr>
        <w:spacing w:line="276" w:lineRule="auto"/>
        <w:jc w:val="both"/>
        <w:rPr>
          <w:rFonts w:ascii="Gadugi" w:eastAsia="Century Gothic" w:hAnsi="Gadugi" w:cs="Century Gothic"/>
          <w:sz w:val="22"/>
          <w:szCs w:val="22"/>
        </w:rPr>
      </w:pPr>
    </w:p>
    <w:p w14:paraId="617390A2" w14:textId="77777777" w:rsidR="00552271" w:rsidRPr="00340AE5" w:rsidRDefault="003F2C4A">
      <w:pPr>
        <w:spacing w:line="276" w:lineRule="auto"/>
        <w:jc w:val="both"/>
        <w:rPr>
          <w:rFonts w:ascii="Gadugi" w:eastAsia="Century Gothic" w:hAnsi="Gadugi" w:cs="Century Gothic"/>
          <w:sz w:val="22"/>
          <w:szCs w:val="22"/>
        </w:rPr>
      </w:pPr>
      <w:bookmarkStart w:id="34" w:name="_heading=h.894kctgho4lc" w:colFirst="0" w:colLast="0"/>
      <w:bookmarkEnd w:id="34"/>
      <w:r w:rsidRPr="00340AE5">
        <w:rPr>
          <w:rFonts w:ascii="Gadugi" w:eastAsia="Century Gothic" w:hAnsi="Gadugi" w:cs="Century Gothic"/>
          <w:sz w:val="22"/>
          <w:szCs w:val="22"/>
        </w:rPr>
        <w:t>Por su parte, Cornejo (2016) señala que la reparación integral debe ser evaluada por un juez para calcular los daños de manera prudente y acorde al mérito del proceso, considerando tres aspectos: a) Daño Emergente; b) Lucro Cesante; y c) Daño Moral.</w:t>
      </w:r>
      <w:r w:rsidRPr="00340AE5">
        <w:rPr>
          <w:rFonts w:ascii="Gadugi" w:eastAsia="Century Gothic" w:hAnsi="Gadugi" w:cs="Century Gothic"/>
          <w:sz w:val="22"/>
          <w:szCs w:val="22"/>
          <w:vertAlign w:val="superscript"/>
        </w:rPr>
        <w:footnoteReference w:id="25"/>
      </w:r>
      <w:r w:rsidRPr="00340AE5">
        <w:rPr>
          <w:rFonts w:ascii="Gadugi" w:eastAsia="Century Gothic" w:hAnsi="Gadugi" w:cs="Century Gothic"/>
          <w:sz w:val="22"/>
          <w:szCs w:val="22"/>
        </w:rPr>
        <w:t xml:space="preserve"> Además, para implementar medidas que aseguren una reparación integral efectiva, las autoridades judiciales deben tener en cuenta varios elementos, entre ellos: </w:t>
      </w:r>
    </w:p>
    <w:p w14:paraId="298092DC" w14:textId="77777777" w:rsidR="00D2146A" w:rsidRPr="00340AE5" w:rsidRDefault="00D2146A">
      <w:pPr>
        <w:spacing w:line="276" w:lineRule="auto"/>
        <w:jc w:val="both"/>
        <w:rPr>
          <w:rFonts w:ascii="Gadugi" w:eastAsia="Century Gothic" w:hAnsi="Gadugi" w:cs="Century Gothic"/>
          <w:sz w:val="22"/>
          <w:szCs w:val="22"/>
        </w:rPr>
      </w:pPr>
    </w:p>
    <w:p w14:paraId="448ECD00" w14:textId="77777777" w:rsidR="00552271" w:rsidRPr="00340AE5" w:rsidRDefault="003F2C4A">
      <w:pPr>
        <w:numPr>
          <w:ilvl w:val="0"/>
          <w:numId w:val="6"/>
        </w:numPr>
        <w:spacing w:line="276" w:lineRule="auto"/>
        <w:jc w:val="both"/>
        <w:rPr>
          <w:rFonts w:ascii="Gadugi" w:eastAsia="Century Gothic" w:hAnsi="Gadugi" w:cs="Century Gothic"/>
          <w:sz w:val="22"/>
          <w:szCs w:val="22"/>
        </w:rPr>
      </w:pPr>
      <w:bookmarkStart w:id="35" w:name="_heading=h.ll13ch9c2822" w:colFirst="0" w:colLast="0"/>
      <w:bookmarkEnd w:id="35"/>
      <w:r w:rsidRPr="00340AE5">
        <w:rPr>
          <w:rFonts w:ascii="Gadugi" w:eastAsia="Century Gothic" w:hAnsi="Gadugi" w:cs="Century Gothic"/>
          <w:sz w:val="22"/>
          <w:szCs w:val="22"/>
        </w:rPr>
        <w:t>Restitución</w:t>
      </w:r>
    </w:p>
    <w:p w14:paraId="355B52FD" w14:textId="77777777" w:rsidR="00552271" w:rsidRPr="00340AE5" w:rsidRDefault="003F2C4A">
      <w:pPr>
        <w:numPr>
          <w:ilvl w:val="0"/>
          <w:numId w:val="6"/>
        </w:numPr>
        <w:spacing w:line="276" w:lineRule="auto"/>
        <w:jc w:val="both"/>
        <w:rPr>
          <w:rFonts w:ascii="Gadugi" w:eastAsia="Century Gothic" w:hAnsi="Gadugi" w:cs="Century Gothic"/>
          <w:sz w:val="22"/>
          <w:szCs w:val="22"/>
        </w:rPr>
      </w:pPr>
      <w:bookmarkStart w:id="36" w:name="_heading=h.wfgm5v3hmpso" w:colFirst="0" w:colLast="0"/>
      <w:bookmarkEnd w:id="36"/>
      <w:r w:rsidRPr="00340AE5">
        <w:rPr>
          <w:rFonts w:ascii="Gadugi" w:eastAsia="Century Gothic" w:hAnsi="Gadugi" w:cs="Century Gothic"/>
          <w:sz w:val="22"/>
          <w:szCs w:val="22"/>
        </w:rPr>
        <w:t>Restauración de la libertad, bienes o educación</w:t>
      </w:r>
    </w:p>
    <w:p w14:paraId="0B8B9386" w14:textId="77777777" w:rsidR="00552271" w:rsidRPr="00340AE5" w:rsidRDefault="003F2C4A">
      <w:pPr>
        <w:numPr>
          <w:ilvl w:val="0"/>
          <w:numId w:val="6"/>
        </w:numPr>
        <w:spacing w:line="276" w:lineRule="auto"/>
        <w:jc w:val="both"/>
        <w:rPr>
          <w:rFonts w:ascii="Gadugi" w:eastAsia="Century Gothic" w:hAnsi="Gadugi" w:cs="Century Gothic"/>
          <w:sz w:val="22"/>
          <w:szCs w:val="22"/>
        </w:rPr>
      </w:pPr>
      <w:bookmarkStart w:id="37" w:name="_heading=h.vmoo39b123oi" w:colFirst="0" w:colLast="0"/>
      <w:bookmarkEnd w:id="37"/>
      <w:r w:rsidRPr="00340AE5">
        <w:rPr>
          <w:rFonts w:ascii="Gadugi" w:eastAsia="Century Gothic" w:hAnsi="Gadugi" w:cs="Century Gothic"/>
          <w:sz w:val="22"/>
          <w:szCs w:val="22"/>
        </w:rPr>
        <w:t>Compensación o indemnización por cualquier daño económicamente evaluable</w:t>
      </w:r>
    </w:p>
    <w:p w14:paraId="04A72678" w14:textId="77777777" w:rsidR="00552271" w:rsidRPr="00340AE5" w:rsidRDefault="003F2C4A">
      <w:pPr>
        <w:numPr>
          <w:ilvl w:val="0"/>
          <w:numId w:val="6"/>
        </w:numPr>
        <w:spacing w:line="276" w:lineRule="auto"/>
        <w:jc w:val="both"/>
        <w:rPr>
          <w:rFonts w:ascii="Gadugi" w:eastAsia="Century Gothic" w:hAnsi="Gadugi" w:cs="Century Gothic"/>
          <w:sz w:val="22"/>
          <w:szCs w:val="22"/>
        </w:rPr>
      </w:pPr>
      <w:bookmarkStart w:id="38" w:name="_heading=h.16ozie1r58ug" w:colFirst="0" w:colLast="0"/>
      <w:bookmarkEnd w:id="38"/>
      <w:r w:rsidRPr="00340AE5">
        <w:rPr>
          <w:rFonts w:ascii="Gadugi" w:eastAsia="Century Gothic" w:hAnsi="Gadugi" w:cs="Century Gothic"/>
          <w:sz w:val="22"/>
          <w:szCs w:val="22"/>
        </w:rPr>
        <w:t>Rehabilitación, que incluye ayuda médica, psicológica y prestación de servicios legales y sociales</w:t>
      </w:r>
    </w:p>
    <w:p w14:paraId="1B7B7235" w14:textId="36F0C623" w:rsidR="00552271" w:rsidRPr="00340AE5" w:rsidRDefault="003F2C4A">
      <w:pPr>
        <w:numPr>
          <w:ilvl w:val="0"/>
          <w:numId w:val="6"/>
        </w:numPr>
        <w:spacing w:after="160" w:line="276" w:lineRule="auto"/>
        <w:jc w:val="both"/>
        <w:rPr>
          <w:rFonts w:ascii="Gadugi" w:eastAsia="Century Gothic" w:hAnsi="Gadugi" w:cs="Century Gothic"/>
          <w:sz w:val="22"/>
          <w:szCs w:val="22"/>
        </w:rPr>
      </w:pPr>
      <w:bookmarkStart w:id="39" w:name="_heading=h.5xb63j21t50e" w:colFirst="0" w:colLast="0"/>
      <w:bookmarkEnd w:id="39"/>
      <w:r w:rsidRPr="00340AE5">
        <w:rPr>
          <w:rFonts w:ascii="Gadugi" w:eastAsia="Century Gothic" w:hAnsi="Gadugi" w:cs="Century Gothic"/>
          <w:sz w:val="22"/>
          <w:szCs w:val="22"/>
        </w:rPr>
        <w:t>Satisfacción, que implica la aplicación de sanciones judiciales y garantías de no repetición.</w:t>
      </w:r>
    </w:p>
    <w:p w14:paraId="69D91FF6" w14:textId="77777777" w:rsidR="00552271" w:rsidRPr="00340AE5" w:rsidRDefault="003F2C4A">
      <w:pPr>
        <w:numPr>
          <w:ilvl w:val="0"/>
          <w:numId w:val="12"/>
        </w:numPr>
        <w:pBdr>
          <w:top w:val="nil"/>
          <w:left w:val="nil"/>
          <w:bottom w:val="nil"/>
          <w:right w:val="nil"/>
          <w:between w:val="nil"/>
        </w:pBdr>
        <w:spacing w:line="276" w:lineRule="auto"/>
        <w:jc w:val="both"/>
        <w:rPr>
          <w:rFonts w:ascii="Gadugi" w:eastAsia="Century Gothic" w:hAnsi="Gadugi" w:cs="Century Gothic"/>
          <w:b/>
          <w:color w:val="000000"/>
          <w:sz w:val="22"/>
          <w:szCs w:val="22"/>
        </w:rPr>
      </w:pPr>
      <w:bookmarkStart w:id="40" w:name="_heading=h.9c95b3no8rus" w:colFirst="0" w:colLast="0"/>
      <w:bookmarkEnd w:id="40"/>
      <w:r w:rsidRPr="00340AE5">
        <w:rPr>
          <w:rFonts w:ascii="Gadugi" w:eastAsia="Century Gothic" w:hAnsi="Gadugi" w:cs="Century Gothic"/>
          <w:b/>
          <w:color w:val="000000"/>
          <w:sz w:val="22"/>
          <w:szCs w:val="22"/>
        </w:rPr>
        <w:t>Perú</w:t>
      </w:r>
    </w:p>
    <w:p w14:paraId="49AC0FDC" w14:textId="77777777" w:rsidR="00D2146A" w:rsidRPr="00340AE5" w:rsidRDefault="00D2146A" w:rsidP="00D2146A">
      <w:pPr>
        <w:pBdr>
          <w:top w:val="nil"/>
          <w:left w:val="nil"/>
          <w:bottom w:val="nil"/>
          <w:right w:val="nil"/>
          <w:between w:val="nil"/>
        </w:pBdr>
        <w:spacing w:line="276" w:lineRule="auto"/>
        <w:ind w:left="720"/>
        <w:jc w:val="both"/>
        <w:rPr>
          <w:rFonts w:ascii="Gadugi" w:eastAsia="Century Gothic" w:hAnsi="Gadugi" w:cs="Century Gothic"/>
          <w:b/>
          <w:color w:val="000000"/>
          <w:sz w:val="22"/>
          <w:szCs w:val="22"/>
        </w:rPr>
      </w:pPr>
    </w:p>
    <w:p w14:paraId="10D8113D" w14:textId="59351F21" w:rsidR="00552271" w:rsidRPr="00340AE5" w:rsidRDefault="003F2C4A" w:rsidP="00C14DAE">
      <w:pPr>
        <w:spacing w:line="276" w:lineRule="auto"/>
        <w:ind w:left="567" w:right="618"/>
        <w:jc w:val="both"/>
        <w:rPr>
          <w:rFonts w:ascii="Gadugi" w:eastAsia="Century Gothic" w:hAnsi="Gadugi" w:cs="Century Gothic"/>
          <w:sz w:val="22"/>
          <w:szCs w:val="22"/>
        </w:rPr>
      </w:pPr>
      <w:bookmarkStart w:id="41" w:name="_heading=h.h2wjp1b3ll4b" w:colFirst="0" w:colLast="0"/>
      <w:bookmarkEnd w:id="41"/>
      <w:r w:rsidRPr="00340AE5">
        <w:rPr>
          <w:rFonts w:ascii="Gadugi" w:eastAsia="Century Gothic" w:hAnsi="Gadugi" w:cs="Century Gothic"/>
          <w:sz w:val="22"/>
          <w:szCs w:val="22"/>
        </w:rPr>
        <w:t>La Corte Suprema de Justicia de la República en el Recurso de Nulidad N°1969- 2016 Lima Norte, evaluó la valoración de la reparación civil frente a los ataques sufridos por una víctima de violencia familiar. En su fallo, el juez impuso una reparación civil al agresor de 100.000 soles por los daños físicos, reconociendo la naturaleza incuantificable del daño moral. Sin embargo, se determinó una compensación de 30.000 nuevos soles por concepto de daño moral para la víctima.</w:t>
      </w:r>
      <w:r w:rsidRPr="00340AE5">
        <w:rPr>
          <w:rFonts w:ascii="Gadugi" w:eastAsia="Century Gothic" w:hAnsi="Gadugi" w:cs="Century Gothic"/>
          <w:sz w:val="22"/>
          <w:szCs w:val="22"/>
          <w:vertAlign w:val="superscript"/>
        </w:rPr>
        <w:footnoteReference w:id="26"/>
      </w:r>
      <w:r w:rsidRPr="00340AE5">
        <w:rPr>
          <w:rFonts w:ascii="Gadugi" w:eastAsia="Century Gothic" w:hAnsi="Gadugi" w:cs="Century Gothic"/>
          <w:sz w:val="22"/>
          <w:szCs w:val="22"/>
        </w:rPr>
        <w:t xml:space="preserve"> En ese sentido, la Corte con este fallo dio cumplimiento al artículo 92 del Código Penal, el cual establece la reparación civil:</w:t>
      </w:r>
      <w:bookmarkStart w:id="42" w:name="_heading=h.dqbufgpahge" w:colFirst="0" w:colLast="0"/>
      <w:bookmarkEnd w:id="42"/>
      <w:r w:rsidR="0059699A" w:rsidRPr="00340AE5">
        <w:rPr>
          <w:rFonts w:ascii="Gadugi" w:eastAsia="Century Gothic" w:hAnsi="Gadugi" w:cs="Century Gothic"/>
          <w:sz w:val="22"/>
          <w:szCs w:val="22"/>
        </w:rPr>
        <w:br/>
      </w:r>
      <w:r w:rsidR="0059699A" w:rsidRPr="00340AE5">
        <w:rPr>
          <w:rFonts w:ascii="Gadugi" w:eastAsia="Century Gothic" w:hAnsi="Gadugi" w:cs="Century Gothic"/>
          <w:sz w:val="22"/>
          <w:szCs w:val="22"/>
        </w:rPr>
        <w:br/>
      </w:r>
      <w:r w:rsidRPr="00340AE5">
        <w:rPr>
          <w:rFonts w:ascii="Gadugi" w:eastAsia="Century Gothic" w:hAnsi="Gadugi" w:cs="Century Gothic"/>
          <w:i/>
          <w:sz w:val="22"/>
          <w:szCs w:val="22"/>
          <w:highlight w:val="white"/>
        </w:rPr>
        <w:t xml:space="preserve">La reparación civil se determina conjuntamente con la pena y es un derecho de la víctima </w:t>
      </w:r>
      <w:r w:rsidR="0059699A" w:rsidRPr="00340AE5">
        <w:rPr>
          <w:rFonts w:ascii="Gadugi" w:eastAsia="Century Gothic" w:hAnsi="Gadugi" w:cs="Century Gothic"/>
          <w:i/>
          <w:sz w:val="22"/>
          <w:szCs w:val="22"/>
          <w:highlight w:val="white"/>
        </w:rPr>
        <w:t>q</w:t>
      </w:r>
      <w:r w:rsidRPr="00340AE5">
        <w:rPr>
          <w:rFonts w:ascii="Gadugi" w:eastAsia="Century Gothic" w:hAnsi="Gadugi" w:cs="Century Gothic"/>
          <w:i/>
          <w:sz w:val="22"/>
          <w:szCs w:val="22"/>
          <w:highlight w:val="white"/>
        </w:rPr>
        <w:t>ue debe efectivizarse durante el tiempo que dure la condena. El juez garantiza su cumplimiento.</w:t>
      </w:r>
      <w:r w:rsidRPr="00340AE5">
        <w:rPr>
          <w:rFonts w:ascii="Gadugi" w:eastAsia="Century Gothic" w:hAnsi="Gadugi" w:cs="Century Gothic"/>
          <w:i/>
          <w:sz w:val="22"/>
          <w:szCs w:val="22"/>
          <w:highlight w:val="white"/>
          <w:vertAlign w:val="superscript"/>
        </w:rPr>
        <w:footnoteReference w:id="27"/>
      </w:r>
    </w:p>
    <w:p w14:paraId="4C1A089B" w14:textId="77777777" w:rsidR="00552271" w:rsidRPr="00340AE5" w:rsidRDefault="003F2C4A">
      <w:pPr>
        <w:spacing w:before="240" w:after="240" w:line="276" w:lineRule="auto"/>
        <w:jc w:val="both"/>
        <w:rPr>
          <w:rFonts w:ascii="Gadugi" w:eastAsia="Century Gothic" w:hAnsi="Gadugi" w:cs="Century Gothic"/>
          <w:sz w:val="22"/>
          <w:szCs w:val="22"/>
          <w:highlight w:val="white"/>
        </w:rPr>
      </w:pPr>
      <w:r w:rsidRPr="00340AE5">
        <w:rPr>
          <w:rFonts w:ascii="Gadugi" w:eastAsia="Century Gothic" w:hAnsi="Gadugi" w:cs="Century Gothic"/>
          <w:sz w:val="22"/>
          <w:szCs w:val="22"/>
          <w:highlight w:val="white"/>
        </w:rPr>
        <w:t>Para la Corte fue fundamental asegurar el cumplimiento adecuado de la reparación civil como parte esencial de la protección judicial de la víctima de violencia familiar, la cual tiene derechos que incluyen la obtención de una reparación completa por el daño sufrido, que va más allá de la compensación económica impuesta al responsable.</w:t>
      </w:r>
      <w:r w:rsidRPr="00340AE5">
        <w:rPr>
          <w:rFonts w:ascii="Gadugi" w:eastAsia="Century Gothic" w:hAnsi="Gadugi" w:cs="Century Gothic"/>
          <w:sz w:val="22"/>
          <w:szCs w:val="22"/>
          <w:highlight w:val="white"/>
          <w:vertAlign w:val="superscript"/>
        </w:rPr>
        <w:footnoteReference w:id="28"/>
      </w:r>
      <w:r w:rsidRPr="00340AE5">
        <w:rPr>
          <w:rFonts w:ascii="Gadugi" w:eastAsia="Century Gothic" w:hAnsi="Gadugi" w:cs="Century Gothic"/>
          <w:sz w:val="22"/>
          <w:szCs w:val="22"/>
          <w:highlight w:val="white"/>
        </w:rPr>
        <w:t xml:space="preserve"> </w:t>
      </w:r>
    </w:p>
    <w:p w14:paraId="1DC90C09" w14:textId="40E2B739" w:rsidR="00552271" w:rsidRPr="00340AE5" w:rsidRDefault="003F2C4A">
      <w:pPr>
        <w:spacing w:before="240" w:after="240" w:line="276" w:lineRule="auto"/>
        <w:jc w:val="both"/>
        <w:rPr>
          <w:rFonts w:ascii="Gadugi" w:eastAsia="Century Gothic" w:hAnsi="Gadugi" w:cs="Century Gothic"/>
          <w:sz w:val="22"/>
          <w:szCs w:val="22"/>
          <w:highlight w:val="white"/>
        </w:rPr>
      </w:pPr>
      <w:bookmarkStart w:id="43" w:name="_heading=h.dp2dy7oh9vgg" w:colFirst="0" w:colLast="0"/>
      <w:bookmarkEnd w:id="43"/>
      <w:r w:rsidRPr="00340AE5">
        <w:rPr>
          <w:rFonts w:ascii="Gadugi" w:eastAsia="Century Gothic" w:hAnsi="Gadugi" w:cs="Century Gothic"/>
          <w:sz w:val="22"/>
          <w:szCs w:val="22"/>
          <w:highlight w:val="white"/>
        </w:rPr>
        <w:t>Asimismo, una reparación integral incluye la restauración psicológica de la víctima tras el delito cometido en su contra, lo cual se respalda también con la Ley Nº 30364 que establece la prevención, sanción y erradicación de la violencia contra las mujeres y los integrantes del grupo familiar, a través de la implementación de estrategias para prevenir, atender y proteger a las víctimas, así como garantizar la reparación del daño causado. Con esta ley también se establece la sanción y reeducación de los agresores condenados, con el objetivo de asegurar a las mujeres y a sus familias una vida sin violencia y garantizar el pleno ejercicio de sus derechos.</w:t>
      </w:r>
      <w:r w:rsidRPr="00340AE5">
        <w:rPr>
          <w:rFonts w:ascii="Gadugi" w:eastAsia="Century Gothic" w:hAnsi="Gadugi" w:cs="Century Gothic"/>
          <w:sz w:val="22"/>
          <w:szCs w:val="22"/>
          <w:highlight w:val="white"/>
          <w:vertAlign w:val="superscript"/>
        </w:rPr>
        <w:footnoteReference w:id="29"/>
      </w:r>
    </w:p>
    <w:p w14:paraId="44DF740F" w14:textId="77777777" w:rsidR="00552271" w:rsidRPr="00340AE5" w:rsidRDefault="003F2C4A">
      <w:pPr>
        <w:spacing w:before="240" w:after="240" w:line="276" w:lineRule="auto"/>
        <w:ind w:left="810"/>
        <w:jc w:val="both"/>
        <w:rPr>
          <w:rFonts w:ascii="Gadugi" w:eastAsia="Century Gothic" w:hAnsi="Gadugi" w:cs="Century Gothic"/>
          <w:b/>
          <w:sz w:val="22"/>
          <w:szCs w:val="22"/>
          <w:highlight w:val="white"/>
        </w:rPr>
      </w:pPr>
      <w:r w:rsidRPr="00340AE5">
        <w:rPr>
          <w:rFonts w:ascii="Gadugi" w:eastAsia="Century Gothic" w:hAnsi="Gadugi" w:cs="Century Gothic"/>
          <w:b/>
          <w:sz w:val="22"/>
          <w:szCs w:val="22"/>
          <w:highlight w:val="white"/>
        </w:rPr>
        <w:t>4. Bolivia</w:t>
      </w:r>
    </w:p>
    <w:p w14:paraId="4B744588" w14:textId="77777777" w:rsidR="00552271" w:rsidRPr="00340AE5" w:rsidRDefault="003F2C4A">
      <w:pPr>
        <w:spacing w:line="276" w:lineRule="auto"/>
        <w:jc w:val="both"/>
        <w:rPr>
          <w:rFonts w:ascii="Gadugi" w:eastAsia="Century Gothic" w:hAnsi="Gadugi" w:cs="Century Gothic"/>
          <w:sz w:val="22"/>
          <w:szCs w:val="22"/>
          <w:highlight w:val="white"/>
        </w:rPr>
      </w:pPr>
      <w:bookmarkStart w:id="44" w:name="_heading=h.o66c4eqwjct5" w:colFirst="0" w:colLast="0"/>
      <w:bookmarkEnd w:id="44"/>
      <w:r w:rsidRPr="00340AE5">
        <w:rPr>
          <w:rFonts w:ascii="Gadugi" w:eastAsia="Century Gothic" w:hAnsi="Gadugi" w:cs="Century Gothic"/>
          <w:sz w:val="22"/>
          <w:szCs w:val="22"/>
          <w:highlight w:val="white"/>
        </w:rPr>
        <w:t>En Bolivia en la Ley 348 de 2013, se establece la ley integral para garantizar a las mujeres una vida libre de violencia, con la finalidad de implementar mecanismos, medidas y políticas integrales de prevención, atención, protección y reparación a las mujeres en situación de violencia física, sexual y/o psicológica tanto en la familia como en la sociedad.</w:t>
      </w:r>
      <w:r w:rsidRPr="00340AE5">
        <w:rPr>
          <w:rFonts w:ascii="Gadugi" w:eastAsia="Century Gothic" w:hAnsi="Gadugi" w:cs="Century Gothic"/>
          <w:sz w:val="22"/>
          <w:szCs w:val="22"/>
          <w:highlight w:val="white"/>
          <w:vertAlign w:val="superscript"/>
        </w:rPr>
        <w:footnoteReference w:id="30"/>
      </w:r>
      <w:r w:rsidRPr="00340AE5">
        <w:rPr>
          <w:rFonts w:ascii="Gadugi" w:eastAsia="Century Gothic" w:hAnsi="Gadugi" w:cs="Century Gothic"/>
          <w:sz w:val="22"/>
          <w:szCs w:val="22"/>
          <w:highlight w:val="white"/>
        </w:rPr>
        <w:t xml:space="preserve"> En el artículo 45 se establecen las garantías para las víctimas de violencia, donde se aseguran sus derechos, protección y reparación del daño: </w:t>
      </w:r>
    </w:p>
    <w:p w14:paraId="469C4354" w14:textId="77777777" w:rsidR="00552271" w:rsidRPr="00340AE5" w:rsidRDefault="003F2C4A" w:rsidP="00D2146A">
      <w:pPr>
        <w:spacing w:line="276" w:lineRule="auto"/>
        <w:ind w:left="567" w:right="902"/>
        <w:jc w:val="both"/>
        <w:rPr>
          <w:rFonts w:ascii="Gadugi" w:eastAsia="Century Gothic" w:hAnsi="Gadugi" w:cs="Century Gothic"/>
          <w:i/>
          <w:sz w:val="22"/>
          <w:szCs w:val="22"/>
          <w:highlight w:val="white"/>
        </w:rPr>
      </w:pPr>
      <w:bookmarkStart w:id="45" w:name="_heading=h.fy1l7wriamu7" w:colFirst="0" w:colLast="0"/>
      <w:bookmarkEnd w:id="45"/>
      <w:r w:rsidRPr="00340AE5">
        <w:rPr>
          <w:rFonts w:ascii="Gadugi" w:eastAsia="Century Gothic" w:hAnsi="Gadugi" w:cs="Century Gothic"/>
          <w:i/>
          <w:sz w:val="22"/>
          <w:szCs w:val="22"/>
          <w:highlight w:val="white"/>
        </w:rPr>
        <w:t>Para asegurar el ejercicio de todos sus derechos y su efectiva protección, el Estado garantizará a toda mujer en situación de violencia:</w:t>
      </w:r>
    </w:p>
    <w:p w14:paraId="73CFCDF2" w14:textId="77777777" w:rsidR="00552271" w:rsidRPr="00340AE5" w:rsidRDefault="003F2C4A" w:rsidP="00D2146A">
      <w:pPr>
        <w:spacing w:line="276" w:lineRule="auto"/>
        <w:ind w:left="567" w:right="902"/>
        <w:jc w:val="both"/>
        <w:rPr>
          <w:rFonts w:ascii="Gadugi" w:eastAsia="Century Gothic" w:hAnsi="Gadugi" w:cs="Century Gothic"/>
          <w:i/>
          <w:sz w:val="22"/>
          <w:szCs w:val="22"/>
          <w:highlight w:val="white"/>
        </w:rPr>
      </w:pPr>
      <w:bookmarkStart w:id="46" w:name="_heading=h.68zv0mb8gls" w:colFirst="0" w:colLast="0"/>
      <w:bookmarkEnd w:id="46"/>
      <w:r w:rsidRPr="00340AE5">
        <w:rPr>
          <w:rFonts w:ascii="Gadugi" w:eastAsia="Century Gothic" w:hAnsi="Gadugi" w:cs="Century Gothic"/>
          <w:i/>
          <w:sz w:val="22"/>
          <w:szCs w:val="22"/>
          <w:highlight w:val="white"/>
        </w:rPr>
        <w:t>[...] 8. La averiguación de la verdad, la reparación del daño y prevención de la reiteración de los actos de violencia.</w:t>
      </w:r>
    </w:p>
    <w:p w14:paraId="061CB45B" w14:textId="77777777" w:rsidR="00D2146A" w:rsidRPr="00340AE5" w:rsidRDefault="00D2146A" w:rsidP="00D2146A">
      <w:pPr>
        <w:spacing w:line="276" w:lineRule="auto"/>
        <w:ind w:left="567" w:right="902"/>
        <w:jc w:val="both"/>
        <w:rPr>
          <w:rFonts w:ascii="Gadugi" w:eastAsia="Century Gothic" w:hAnsi="Gadugi" w:cs="Century Gothic"/>
          <w:i/>
          <w:sz w:val="22"/>
          <w:szCs w:val="22"/>
          <w:highlight w:val="white"/>
        </w:rPr>
      </w:pPr>
    </w:p>
    <w:p w14:paraId="163FA8DB" w14:textId="77777777" w:rsidR="00552271" w:rsidRPr="00340AE5" w:rsidRDefault="003F2C4A">
      <w:pPr>
        <w:spacing w:line="276" w:lineRule="auto"/>
        <w:jc w:val="both"/>
        <w:rPr>
          <w:rFonts w:ascii="Gadugi" w:eastAsia="Century Gothic" w:hAnsi="Gadugi" w:cs="Century Gothic"/>
          <w:sz w:val="22"/>
          <w:szCs w:val="22"/>
          <w:highlight w:val="white"/>
        </w:rPr>
      </w:pPr>
      <w:bookmarkStart w:id="47" w:name="_heading=h.52pogr398d3j" w:colFirst="0" w:colLast="0"/>
      <w:bookmarkEnd w:id="47"/>
      <w:r w:rsidRPr="00340AE5">
        <w:rPr>
          <w:rFonts w:ascii="Gadugi" w:eastAsia="Century Gothic" w:hAnsi="Gadugi" w:cs="Century Gothic"/>
          <w:sz w:val="22"/>
          <w:szCs w:val="22"/>
          <w:highlight w:val="white"/>
        </w:rPr>
        <w:t>Asimismo, la ley señala en el artículo 72 bis la competencia de los juzgados de sentencia en materia de violencia contra las mujeres y la reparación del daño que debe darse una vez haya sentencia condenatoria:</w:t>
      </w:r>
    </w:p>
    <w:p w14:paraId="0AE2893F" w14:textId="65F80A08" w:rsidR="00552271" w:rsidRPr="00340AE5" w:rsidRDefault="0059699A" w:rsidP="00C14DAE">
      <w:pPr>
        <w:tabs>
          <w:tab w:val="left" w:pos="851"/>
        </w:tabs>
        <w:spacing w:line="276" w:lineRule="auto"/>
        <w:ind w:left="567" w:right="618"/>
        <w:jc w:val="both"/>
        <w:rPr>
          <w:rFonts w:ascii="Gadugi" w:eastAsia="Century Gothic" w:hAnsi="Gadugi" w:cs="Century Gothic"/>
          <w:i/>
          <w:sz w:val="22"/>
          <w:szCs w:val="22"/>
          <w:highlight w:val="white"/>
        </w:rPr>
      </w:pPr>
      <w:r w:rsidRPr="00340AE5">
        <w:rPr>
          <w:rFonts w:ascii="Gadugi" w:eastAsia="Century Gothic" w:hAnsi="Gadugi" w:cs="Century Gothic"/>
          <w:b/>
          <w:i/>
          <w:sz w:val="22"/>
          <w:szCs w:val="22"/>
          <w:highlight w:val="white"/>
        </w:rPr>
        <w:br/>
      </w:r>
      <w:r w:rsidR="003F2C4A" w:rsidRPr="00340AE5">
        <w:rPr>
          <w:rFonts w:ascii="Gadugi" w:eastAsia="Century Gothic" w:hAnsi="Gadugi" w:cs="Century Gothic"/>
          <w:b/>
          <w:i/>
          <w:sz w:val="22"/>
          <w:szCs w:val="22"/>
          <w:highlight w:val="white"/>
        </w:rPr>
        <w:t xml:space="preserve">Artículo 72 bis (COMPETENCIA DE JUZGADOS DE SENTENCIA EN MATERIA DE VIOLENCIA CONTRA LAS MUJERES). </w:t>
      </w:r>
      <w:r w:rsidR="003F2C4A" w:rsidRPr="00340AE5">
        <w:rPr>
          <w:rFonts w:ascii="Gadugi" w:eastAsia="Century Gothic" w:hAnsi="Gadugi" w:cs="Century Gothic"/>
          <w:i/>
          <w:sz w:val="22"/>
          <w:szCs w:val="22"/>
          <w:highlight w:val="white"/>
        </w:rPr>
        <w:t xml:space="preserve">Las juezas y jueces de sentencia en materia de violencia contra las mujeres, tienen competencia para: </w:t>
      </w:r>
    </w:p>
    <w:p w14:paraId="3FC22C76" w14:textId="77777777" w:rsidR="00D2146A" w:rsidRPr="00340AE5" w:rsidRDefault="003F2C4A" w:rsidP="00C14DAE">
      <w:pPr>
        <w:pStyle w:val="Prrafodelista"/>
        <w:numPr>
          <w:ilvl w:val="3"/>
          <w:numId w:val="12"/>
        </w:numPr>
        <w:tabs>
          <w:tab w:val="left" w:pos="851"/>
        </w:tabs>
        <w:ind w:left="567" w:right="618"/>
        <w:jc w:val="both"/>
        <w:rPr>
          <w:rFonts w:ascii="Gadugi" w:eastAsia="Century Gothic" w:hAnsi="Gadugi" w:cs="Century Gothic"/>
          <w:i/>
          <w:highlight w:val="white"/>
        </w:rPr>
      </w:pPr>
      <w:bookmarkStart w:id="48" w:name="_heading=h.yunh1ykk7cp0" w:colFirst="0" w:colLast="0"/>
      <w:bookmarkEnd w:id="48"/>
      <w:r w:rsidRPr="00340AE5">
        <w:rPr>
          <w:rFonts w:ascii="Gadugi" w:eastAsia="Century Gothic" w:hAnsi="Gadugi" w:cs="Century Gothic"/>
          <w:i/>
          <w:highlight w:val="white"/>
        </w:rPr>
        <w:t xml:space="preserve">Conocer y resolver los juicios por delitos de acción pública que constituyan violencia contra las mujeres, sancionados con pena privativa de libertad cuyo máximo legal sea de cuatro o menos años; </w:t>
      </w:r>
      <w:bookmarkStart w:id="49" w:name="_heading=h.xvh4ro214lyq" w:colFirst="0" w:colLast="0"/>
      <w:bookmarkEnd w:id="49"/>
    </w:p>
    <w:p w14:paraId="173093EB" w14:textId="77777777" w:rsidR="00D2146A" w:rsidRPr="00340AE5" w:rsidRDefault="003F2C4A" w:rsidP="00C14DAE">
      <w:pPr>
        <w:pStyle w:val="Prrafodelista"/>
        <w:numPr>
          <w:ilvl w:val="3"/>
          <w:numId w:val="12"/>
        </w:numPr>
        <w:tabs>
          <w:tab w:val="left" w:pos="851"/>
        </w:tabs>
        <w:ind w:left="567" w:right="618"/>
        <w:jc w:val="both"/>
        <w:rPr>
          <w:rFonts w:ascii="Gadugi" w:eastAsia="Century Gothic" w:hAnsi="Gadugi" w:cs="Century Gothic"/>
          <w:i/>
          <w:highlight w:val="white"/>
        </w:rPr>
      </w:pPr>
      <w:r w:rsidRPr="00340AE5">
        <w:rPr>
          <w:rFonts w:ascii="Gadugi" w:eastAsia="Century Gothic" w:hAnsi="Gadugi" w:cs="Century Gothic"/>
          <w:i/>
          <w:color w:val="000000"/>
          <w:highlight w:val="white"/>
        </w:rPr>
        <w:t xml:space="preserve">Aplicar medidas de restricción y provisionales al agresor, y de asistencia y protección a la mujer en situación de violencia, cuando el hecho no constituya delito; </w:t>
      </w:r>
      <w:bookmarkStart w:id="50" w:name="_heading=h.gy9o2gkv5vyn" w:colFirst="0" w:colLast="0"/>
      <w:bookmarkEnd w:id="50"/>
    </w:p>
    <w:p w14:paraId="3DA76B2C" w14:textId="77777777" w:rsidR="00D2146A" w:rsidRPr="00340AE5" w:rsidRDefault="003F2C4A" w:rsidP="00C14DAE">
      <w:pPr>
        <w:pStyle w:val="Prrafodelista"/>
        <w:numPr>
          <w:ilvl w:val="3"/>
          <w:numId w:val="12"/>
        </w:numPr>
        <w:tabs>
          <w:tab w:val="left" w:pos="851"/>
        </w:tabs>
        <w:ind w:left="567" w:right="618"/>
        <w:jc w:val="both"/>
        <w:rPr>
          <w:rFonts w:ascii="Gadugi" w:eastAsia="Century Gothic" w:hAnsi="Gadugi" w:cs="Century Gothic"/>
          <w:i/>
          <w:highlight w:val="white"/>
        </w:rPr>
      </w:pPr>
      <w:r w:rsidRPr="00340AE5">
        <w:rPr>
          <w:rFonts w:ascii="Gadugi" w:eastAsia="Century Gothic" w:hAnsi="Gadugi" w:cs="Century Gothic"/>
          <w:i/>
          <w:color w:val="000000"/>
          <w:highlight w:val="white"/>
        </w:rPr>
        <w:t xml:space="preserve">El procedimiento para la reparación del daño, cuando se haya dictado sentencia condenatoria; </w:t>
      </w:r>
      <w:bookmarkStart w:id="51" w:name="_heading=h.bp9qr7oyy42" w:colFirst="0" w:colLast="0"/>
      <w:bookmarkEnd w:id="51"/>
    </w:p>
    <w:p w14:paraId="5AC757CA" w14:textId="77777777" w:rsidR="00552271" w:rsidRPr="00340AE5" w:rsidRDefault="003F2C4A" w:rsidP="00C14DAE">
      <w:pPr>
        <w:pStyle w:val="Prrafodelista"/>
        <w:numPr>
          <w:ilvl w:val="3"/>
          <w:numId w:val="12"/>
        </w:numPr>
        <w:tabs>
          <w:tab w:val="left" w:pos="851"/>
        </w:tabs>
        <w:ind w:left="567" w:right="618"/>
        <w:jc w:val="both"/>
        <w:rPr>
          <w:rFonts w:ascii="Gadugi" w:eastAsia="Century Gothic" w:hAnsi="Gadugi" w:cs="Century Gothic"/>
          <w:i/>
          <w:highlight w:val="white"/>
        </w:rPr>
      </w:pPr>
      <w:r w:rsidRPr="00340AE5">
        <w:rPr>
          <w:rFonts w:ascii="Gadugi" w:eastAsia="Century Gothic" w:hAnsi="Gadugi" w:cs="Century Gothic"/>
          <w:i/>
          <w:color w:val="000000"/>
          <w:highlight w:val="white"/>
        </w:rPr>
        <w:t>Imponer de oficio la aplicación desmedidas de protección, que permitan a las mujeres en situación de violencia su acceso a casas de acogida, separación temporal de los cónyuges y/o convivientes y prevención de nuevas agresiones y cualquier otra destinada a resguardar sus derechos.</w:t>
      </w:r>
    </w:p>
    <w:p w14:paraId="2C7FD44C" w14:textId="77777777" w:rsidR="00552271" w:rsidRPr="00340AE5" w:rsidRDefault="003F2C4A">
      <w:pPr>
        <w:spacing w:line="276" w:lineRule="auto"/>
        <w:jc w:val="both"/>
        <w:rPr>
          <w:rFonts w:ascii="Gadugi" w:eastAsia="Century Gothic" w:hAnsi="Gadugi" w:cs="Century Gothic"/>
          <w:sz w:val="22"/>
          <w:szCs w:val="22"/>
          <w:highlight w:val="white"/>
        </w:rPr>
      </w:pPr>
      <w:bookmarkStart w:id="52" w:name="_heading=h.nwyhiox2iye1" w:colFirst="0" w:colLast="0"/>
      <w:bookmarkEnd w:id="52"/>
      <w:r w:rsidRPr="00340AE5">
        <w:rPr>
          <w:rFonts w:ascii="Gadugi" w:eastAsia="Century Gothic" w:hAnsi="Gadugi" w:cs="Century Gothic"/>
          <w:sz w:val="22"/>
          <w:szCs w:val="22"/>
          <w:highlight w:val="white"/>
        </w:rPr>
        <w:t xml:space="preserve">Dentro de la reparación del daño puede existir además la imposición de multas a los agresores como sanción alternativa, esta </w:t>
      </w:r>
      <w:r w:rsidRPr="00340AE5">
        <w:rPr>
          <w:rFonts w:ascii="Gadugi" w:eastAsia="Century Gothic" w:hAnsi="Gadugi" w:cs="Century Gothic"/>
          <w:i/>
          <w:sz w:val="22"/>
          <w:szCs w:val="22"/>
          <w:highlight w:val="white"/>
        </w:rPr>
        <w:t>“no podrá ser mayor de trescientos sesenta y cinco días ni comprender para el cálculo más del cincuenta por ciento (50%) del salario del sancionado y cuando el salario es indeterminado, se calculará sobre el cincuenta por ciento (50%) del salario mínimo nacional. El día de privación equivale a un día de multa y es revocable ante el incumplimiento”</w:t>
      </w:r>
      <w:r w:rsidRPr="00340AE5">
        <w:rPr>
          <w:rFonts w:ascii="Gadugi" w:eastAsia="Century Gothic" w:hAnsi="Gadugi" w:cs="Century Gothic"/>
          <w:sz w:val="22"/>
          <w:szCs w:val="22"/>
          <w:highlight w:val="white"/>
        </w:rPr>
        <w:t>.</w:t>
      </w:r>
      <w:r w:rsidRPr="00340AE5">
        <w:rPr>
          <w:rFonts w:ascii="Gadugi" w:eastAsia="Century Gothic" w:hAnsi="Gadugi" w:cs="Century Gothic"/>
          <w:sz w:val="22"/>
          <w:szCs w:val="22"/>
          <w:highlight w:val="white"/>
          <w:vertAlign w:val="superscript"/>
        </w:rPr>
        <w:footnoteReference w:id="31"/>
      </w:r>
      <w:r w:rsidRPr="00340AE5">
        <w:rPr>
          <w:rFonts w:ascii="Gadugi" w:eastAsia="Century Gothic" w:hAnsi="Gadugi" w:cs="Century Gothic"/>
          <w:sz w:val="22"/>
          <w:szCs w:val="22"/>
          <w:highlight w:val="white"/>
        </w:rPr>
        <w:t xml:space="preserve"> Cabe aclarar que la multa no sustituye la reparación del daño, sino que tiene como finalidad recolectar fondos para los Servicios de Atención Integral bajo la supervisión de los Gobiernos Autónomos Municipales, para las Casas de Acogida y Refugios Temporales, así como a los servicios de salud relacionados.</w:t>
      </w:r>
    </w:p>
    <w:p w14:paraId="3F004160" w14:textId="77777777" w:rsidR="00552271" w:rsidRPr="00340AE5" w:rsidRDefault="003F2C4A">
      <w:pPr>
        <w:spacing w:line="276" w:lineRule="auto"/>
        <w:jc w:val="both"/>
        <w:rPr>
          <w:rFonts w:ascii="Gadugi" w:eastAsia="Century Gothic" w:hAnsi="Gadugi" w:cs="Century Gothic"/>
          <w:sz w:val="22"/>
          <w:szCs w:val="22"/>
          <w:highlight w:val="white"/>
        </w:rPr>
      </w:pPr>
      <w:r w:rsidRPr="00340AE5">
        <w:rPr>
          <w:rFonts w:ascii="Gadugi" w:eastAsia="Century Gothic" w:hAnsi="Gadugi" w:cs="Century Gothic"/>
          <w:sz w:val="22"/>
          <w:szCs w:val="22"/>
          <w:highlight w:val="white"/>
        </w:rPr>
        <w:t xml:space="preserve"> </w:t>
      </w:r>
    </w:p>
    <w:p w14:paraId="07D8CA95" w14:textId="77777777" w:rsidR="00552271" w:rsidRPr="00340AE5" w:rsidRDefault="003F2C4A">
      <w:pPr>
        <w:spacing w:line="276" w:lineRule="auto"/>
        <w:jc w:val="both"/>
        <w:rPr>
          <w:rFonts w:ascii="Gadugi" w:eastAsia="Century Gothic" w:hAnsi="Gadugi" w:cs="Century Gothic"/>
          <w:b/>
          <w:sz w:val="22"/>
          <w:szCs w:val="22"/>
        </w:rPr>
      </w:pPr>
      <w:bookmarkStart w:id="53" w:name="_heading=h.dnjfyxa75v1g" w:colFirst="0" w:colLast="0"/>
      <w:bookmarkEnd w:id="53"/>
      <w:r w:rsidRPr="00340AE5">
        <w:rPr>
          <w:rFonts w:ascii="Gadugi" w:eastAsia="Century Gothic" w:hAnsi="Gadugi" w:cs="Century Gothic"/>
          <w:b/>
          <w:sz w:val="22"/>
          <w:szCs w:val="22"/>
        </w:rPr>
        <w:t>8. Las mesas técnicas y espacios de diálogo con expertos en el tema</w:t>
      </w:r>
    </w:p>
    <w:p w14:paraId="22E06D47" w14:textId="77777777" w:rsidR="00552271" w:rsidRPr="00340AE5" w:rsidRDefault="003F2C4A">
      <w:pPr>
        <w:spacing w:before="24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El 08 de abril de 2024, se llevó a cabo una audiencia pública liderada por las representantes Catherine </w:t>
      </w:r>
      <w:proofErr w:type="spellStart"/>
      <w:r w:rsidRPr="00340AE5">
        <w:rPr>
          <w:rFonts w:ascii="Gadugi" w:eastAsia="Century Gothic" w:hAnsi="Gadugi" w:cs="Century Gothic"/>
          <w:sz w:val="22"/>
          <w:szCs w:val="22"/>
        </w:rPr>
        <w:t>Juvinao</w:t>
      </w:r>
      <w:proofErr w:type="spellEnd"/>
      <w:r w:rsidRPr="00340AE5">
        <w:rPr>
          <w:rFonts w:ascii="Gadugi" w:eastAsia="Century Gothic" w:hAnsi="Gadugi" w:cs="Century Gothic"/>
          <w:sz w:val="22"/>
          <w:szCs w:val="22"/>
        </w:rPr>
        <w:t xml:space="preserve"> Clavijo y Carolina Giraldo Botero, donde asistieron diferentes entidades de gobierno expertas en los temas de violencia basadas en género, entre ellas, delegadas del Ministerio de Justicia, Ministerio de la Igualdad y Equidad y Secretaria Distrital de la Mujer de Bogotá; así como profesoras de la Clínica Jurídica contra la violencia intrafamiliar y de género de la Universidad del Rosario y SISMA Mujer en representación de las organizaciones de la sociedad civil.</w:t>
      </w:r>
    </w:p>
    <w:p w14:paraId="16CD0AA5" w14:textId="77777777" w:rsidR="00552271" w:rsidRPr="00340AE5" w:rsidRDefault="003F2C4A">
      <w:pPr>
        <w:spacing w:before="240" w:after="200" w:line="276" w:lineRule="auto"/>
        <w:jc w:val="both"/>
        <w:rPr>
          <w:rFonts w:ascii="Gadugi" w:eastAsia="Century Gothic" w:hAnsi="Gadugi" w:cs="Century Gothic"/>
          <w:sz w:val="22"/>
          <w:szCs w:val="22"/>
        </w:rPr>
      </w:pPr>
      <w:bookmarkStart w:id="54" w:name="_heading=h.qjl3gssnbmb1" w:colFirst="0" w:colLast="0"/>
      <w:bookmarkEnd w:id="54"/>
      <w:r w:rsidRPr="00340AE5">
        <w:rPr>
          <w:rFonts w:ascii="Gadugi" w:eastAsia="Century Gothic" w:hAnsi="Gadugi" w:cs="Century Gothic"/>
          <w:sz w:val="22"/>
          <w:szCs w:val="22"/>
        </w:rPr>
        <w:t xml:space="preserve">En la audiencia pública, cada experta tuvo la oportunidad de dar a conocer sus recomendaciones y comentarios respecto a la propuesta del proyecto de ley que proponía inicialmente la Indemnización de Perjuicios por Responsabilidad Parental y por Violencia Intrafamiliar. A partir de esto, varias de las recomendaciones se enfocaron en reformular el proyecto de ley y acotar la problemática a un proyecto que llene un vacío jurídico existente en la legislación civil y de familia, que actualmente niega un derecho humano fundamental: el derecho a la reparación frente a violaciones de derechos humanos. </w:t>
      </w:r>
      <w:r w:rsidRPr="00340AE5">
        <w:rPr>
          <w:rFonts w:ascii="Gadugi" w:eastAsia="Century Gothic" w:hAnsi="Gadugi" w:cs="Century Gothic"/>
          <w:sz w:val="22"/>
          <w:szCs w:val="22"/>
          <w:highlight w:val="white"/>
        </w:rPr>
        <w:t>A continuación, se enlistan algunas recomendaciones que surgieron durante la audiencia pública:</w:t>
      </w:r>
      <w:r w:rsidRPr="00340AE5">
        <w:rPr>
          <w:rFonts w:ascii="Gadugi" w:eastAsia="Century Gothic" w:hAnsi="Gadugi" w:cs="Century Gothic"/>
          <w:sz w:val="22"/>
          <w:szCs w:val="22"/>
        </w:rPr>
        <w:t xml:space="preserve"> </w:t>
      </w:r>
    </w:p>
    <w:p w14:paraId="531E2B37" w14:textId="77777777" w:rsidR="00552271" w:rsidRPr="00340AE5" w:rsidRDefault="003F2C4A" w:rsidP="00A72A7B">
      <w:pPr>
        <w:numPr>
          <w:ilvl w:val="0"/>
          <w:numId w:val="20"/>
        </w:numPr>
        <w:spacing w:before="200"/>
        <w:jc w:val="both"/>
        <w:rPr>
          <w:rFonts w:ascii="Gadugi" w:eastAsia="Century Gothic" w:hAnsi="Gadugi" w:cs="Century Gothic"/>
          <w:sz w:val="22"/>
          <w:szCs w:val="22"/>
        </w:rPr>
      </w:pPr>
      <w:r w:rsidRPr="00340AE5">
        <w:rPr>
          <w:rFonts w:ascii="Gadugi" w:eastAsia="Century Gothic" w:hAnsi="Gadugi" w:cs="Century Gothic"/>
          <w:sz w:val="22"/>
          <w:szCs w:val="22"/>
        </w:rPr>
        <w:t>Tener presente la distinción entre violencia en el contexto de la familia y violencia intrafamiliar para el abordaje de reparación de las víctimas.</w:t>
      </w:r>
    </w:p>
    <w:p w14:paraId="31B11C53" w14:textId="77777777" w:rsidR="00552271" w:rsidRPr="00340AE5" w:rsidRDefault="003F2C4A" w:rsidP="00A72A7B">
      <w:pPr>
        <w:numPr>
          <w:ilvl w:val="0"/>
          <w:numId w:val="20"/>
        </w:numPr>
        <w:jc w:val="both"/>
        <w:rPr>
          <w:rFonts w:ascii="Gadugi" w:eastAsia="Century Gothic" w:hAnsi="Gadugi" w:cs="Century Gothic"/>
          <w:sz w:val="22"/>
          <w:szCs w:val="22"/>
        </w:rPr>
      </w:pPr>
      <w:r w:rsidRPr="00340AE5">
        <w:rPr>
          <w:rFonts w:ascii="Gadugi" w:eastAsia="Century Gothic" w:hAnsi="Gadugi" w:cs="Century Gothic"/>
          <w:sz w:val="22"/>
          <w:szCs w:val="22"/>
        </w:rPr>
        <w:t>Pertinente incluir a la población con discapacidad para abordar el tratamiento diferencial en el proyecto de ley.</w:t>
      </w:r>
    </w:p>
    <w:p w14:paraId="5A0B0FF3" w14:textId="77777777" w:rsidR="00552271" w:rsidRPr="00340AE5" w:rsidRDefault="003F2C4A" w:rsidP="00A72A7B">
      <w:pPr>
        <w:numPr>
          <w:ilvl w:val="0"/>
          <w:numId w:val="20"/>
        </w:num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Tener presente las diferentes barreras al acceso a la justicia a las cuales las mujeres se enfrentan, entre ellas, la interpretación de los fiscales y el material probatorio en los casos de violencia intrafamiliar, dado que esto puede generar </w:t>
      </w:r>
      <w:proofErr w:type="spellStart"/>
      <w:r w:rsidRPr="00340AE5">
        <w:rPr>
          <w:rFonts w:ascii="Gadugi" w:eastAsia="Century Gothic" w:hAnsi="Gadugi" w:cs="Century Gothic"/>
          <w:sz w:val="22"/>
          <w:szCs w:val="22"/>
        </w:rPr>
        <w:t>revictimización</w:t>
      </w:r>
      <w:proofErr w:type="spellEnd"/>
      <w:r w:rsidRPr="00340AE5">
        <w:rPr>
          <w:rFonts w:ascii="Gadugi" w:eastAsia="Century Gothic" w:hAnsi="Gadugi" w:cs="Century Gothic"/>
          <w:sz w:val="22"/>
          <w:szCs w:val="22"/>
        </w:rPr>
        <w:t xml:space="preserve"> y las víctimas desisten de la atención de la ruta interinstitucional.</w:t>
      </w:r>
    </w:p>
    <w:p w14:paraId="5BF8B2BD" w14:textId="77777777" w:rsidR="00552271" w:rsidRPr="00340AE5" w:rsidRDefault="003F2C4A" w:rsidP="00A72A7B">
      <w:pPr>
        <w:numPr>
          <w:ilvl w:val="0"/>
          <w:numId w:val="20"/>
        </w:numPr>
        <w:jc w:val="both"/>
        <w:rPr>
          <w:rFonts w:ascii="Gadugi" w:eastAsia="Century Gothic" w:hAnsi="Gadugi" w:cs="Century Gothic"/>
          <w:sz w:val="22"/>
          <w:szCs w:val="22"/>
        </w:rPr>
      </w:pPr>
      <w:r w:rsidRPr="00340AE5">
        <w:rPr>
          <w:rFonts w:ascii="Gadugi" w:eastAsia="Century Gothic" w:hAnsi="Gadugi" w:cs="Century Gothic"/>
          <w:sz w:val="22"/>
          <w:szCs w:val="22"/>
        </w:rPr>
        <w:t>Las medidas de protección para las mujeres víctimas de violencia intrafamiliar son importantes, así como la implementación de seguimientos periódicos a estos casos con las víctimas.</w:t>
      </w:r>
    </w:p>
    <w:p w14:paraId="376725DC" w14:textId="77777777" w:rsidR="00552271" w:rsidRPr="00340AE5" w:rsidRDefault="003F2C4A" w:rsidP="00A72A7B">
      <w:pPr>
        <w:numPr>
          <w:ilvl w:val="0"/>
          <w:numId w:val="20"/>
        </w:numPr>
        <w:jc w:val="both"/>
        <w:rPr>
          <w:rFonts w:ascii="Gadugi" w:eastAsia="Century Gothic" w:hAnsi="Gadugi" w:cs="Century Gothic"/>
          <w:sz w:val="22"/>
          <w:szCs w:val="22"/>
        </w:rPr>
      </w:pPr>
      <w:bookmarkStart w:id="55" w:name="_heading=h.stldutij01aj" w:colFirst="0" w:colLast="0"/>
      <w:bookmarkEnd w:id="55"/>
      <w:r w:rsidRPr="00340AE5">
        <w:rPr>
          <w:rFonts w:ascii="Gadugi" w:eastAsia="Century Gothic" w:hAnsi="Gadugi" w:cs="Century Gothic"/>
          <w:sz w:val="22"/>
          <w:szCs w:val="22"/>
        </w:rPr>
        <w:t>Es importante incorporar un capítulo sobre principios que guíen la aplicación, interpretación e integración del proyecto de ley.</w:t>
      </w:r>
    </w:p>
    <w:p w14:paraId="07F711F7" w14:textId="77777777" w:rsidR="00A72A7B" w:rsidRPr="00340AE5" w:rsidRDefault="003F2C4A" w:rsidP="00A72A7B">
      <w:pPr>
        <w:numPr>
          <w:ilvl w:val="0"/>
          <w:numId w:val="20"/>
        </w:numPr>
        <w:jc w:val="both"/>
        <w:rPr>
          <w:rFonts w:ascii="Gadugi" w:eastAsia="Century Gothic" w:hAnsi="Gadugi" w:cs="Century Gothic"/>
          <w:sz w:val="22"/>
          <w:szCs w:val="22"/>
        </w:rPr>
      </w:pPr>
      <w:bookmarkStart w:id="56" w:name="_heading=h.9xyshotpnmd8" w:colFirst="0" w:colLast="0"/>
      <w:bookmarkEnd w:id="56"/>
      <w:r w:rsidRPr="00340AE5">
        <w:rPr>
          <w:rFonts w:ascii="Gadugi" w:eastAsia="Century Gothic" w:hAnsi="Gadugi" w:cs="Century Gothic"/>
          <w:sz w:val="22"/>
          <w:szCs w:val="22"/>
        </w:rPr>
        <w:t>Dentro del grupo etario que se menciona en el proyecto de ley, tener presente la definición de niños, niñas y adolescentes y no “menor”.</w:t>
      </w:r>
    </w:p>
    <w:p w14:paraId="35C34C52" w14:textId="77777777" w:rsidR="00552271" w:rsidRPr="00340AE5" w:rsidRDefault="003F2C4A" w:rsidP="00A72A7B">
      <w:pPr>
        <w:numPr>
          <w:ilvl w:val="0"/>
          <w:numId w:val="20"/>
        </w:numPr>
        <w:jc w:val="both"/>
        <w:rPr>
          <w:rFonts w:ascii="Gadugi" w:eastAsia="Century Gothic" w:hAnsi="Gadugi" w:cs="Century Gothic"/>
          <w:sz w:val="22"/>
          <w:szCs w:val="22"/>
        </w:rPr>
      </w:pPr>
      <w:bookmarkStart w:id="57" w:name="_heading=h.e6wx8mulag5v" w:colFirst="0" w:colLast="0"/>
      <w:bookmarkEnd w:id="57"/>
      <w:r w:rsidRPr="00340AE5">
        <w:rPr>
          <w:rFonts w:ascii="Gadugi" w:eastAsia="Century Gothic" w:hAnsi="Gadugi" w:cs="Century Gothic"/>
          <w:sz w:val="22"/>
          <w:szCs w:val="22"/>
        </w:rPr>
        <w:t>Tener presente el lenguaje de la responsabilidad civil para referirse al daño de las víctimas.</w:t>
      </w:r>
    </w:p>
    <w:p w14:paraId="48F3C943" w14:textId="77777777" w:rsidR="00552271" w:rsidRPr="00340AE5" w:rsidRDefault="003F2C4A" w:rsidP="00A72A7B">
      <w:pPr>
        <w:numPr>
          <w:ilvl w:val="0"/>
          <w:numId w:val="20"/>
        </w:numPr>
        <w:jc w:val="both"/>
        <w:rPr>
          <w:rFonts w:ascii="Gadugi" w:eastAsia="Century Gothic" w:hAnsi="Gadugi" w:cs="Century Gothic"/>
          <w:sz w:val="22"/>
          <w:szCs w:val="22"/>
        </w:rPr>
      </w:pPr>
      <w:bookmarkStart w:id="58" w:name="_heading=h.1r6pzbxzgh89" w:colFirst="0" w:colLast="0"/>
      <w:bookmarkEnd w:id="58"/>
      <w:r w:rsidRPr="00340AE5">
        <w:rPr>
          <w:rFonts w:ascii="Gadugi" w:eastAsia="Century Gothic" w:hAnsi="Gadugi" w:cs="Century Gothic"/>
          <w:sz w:val="22"/>
          <w:szCs w:val="22"/>
        </w:rPr>
        <w:t>Incorporar un lenguaje incluyente en la redacción del proyecto ley para no caer en la codificación de un lenguaje heterosexual.</w:t>
      </w:r>
    </w:p>
    <w:p w14:paraId="12A59467" w14:textId="77777777" w:rsidR="00552271" w:rsidRPr="00340AE5" w:rsidRDefault="003F2C4A" w:rsidP="00A72A7B">
      <w:pPr>
        <w:numPr>
          <w:ilvl w:val="0"/>
          <w:numId w:val="20"/>
        </w:numPr>
        <w:jc w:val="both"/>
        <w:rPr>
          <w:rFonts w:ascii="Gadugi" w:eastAsia="Century Gothic" w:hAnsi="Gadugi" w:cs="Century Gothic"/>
          <w:sz w:val="22"/>
          <w:szCs w:val="22"/>
        </w:rPr>
      </w:pPr>
      <w:bookmarkStart w:id="59" w:name="_heading=h.lybb9zct0vap" w:colFirst="0" w:colLast="0"/>
      <w:bookmarkEnd w:id="59"/>
      <w:r w:rsidRPr="00340AE5">
        <w:rPr>
          <w:rFonts w:ascii="Gadugi" w:eastAsia="Century Gothic" w:hAnsi="Gadugi" w:cs="Century Gothic"/>
          <w:sz w:val="22"/>
          <w:szCs w:val="22"/>
        </w:rPr>
        <w:t>Incluir las medidas de reparación integral para las víctimas.</w:t>
      </w:r>
    </w:p>
    <w:p w14:paraId="70CCA472" w14:textId="77777777" w:rsidR="00552271" w:rsidRPr="00340AE5" w:rsidRDefault="003F2C4A" w:rsidP="00A72A7B">
      <w:pPr>
        <w:numPr>
          <w:ilvl w:val="0"/>
          <w:numId w:val="20"/>
        </w:numPr>
        <w:jc w:val="both"/>
        <w:rPr>
          <w:rFonts w:ascii="Gadugi" w:eastAsia="Century Gothic" w:hAnsi="Gadugi" w:cs="Century Gothic"/>
          <w:sz w:val="22"/>
          <w:szCs w:val="22"/>
        </w:rPr>
      </w:pPr>
      <w:bookmarkStart w:id="60" w:name="_heading=h.8kk8lvq4wr2l" w:colFirst="0" w:colLast="0"/>
      <w:bookmarkEnd w:id="60"/>
      <w:r w:rsidRPr="00340AE5">
        <w:rPr>
          <w:rFonts w:ascii="Gadugi" w:eastAsia="Century Gothic" w:hAnsi="Gadugi" w:cs="Century Gothic"/>
          <w:sz w:val="22"/>
          <w:szCs w:val="22"/>
        </w:rPr>
        <w:t>Tener presente la responsabilidad estatal frente a la prevención y atención de las violencias contra las mujeres para el pago de indemnizaciones que se abordan en este proyecto de ley.</w:t>
      </w:r>
    </w:p>
    <w:p w14:paraId="75CD9D53" w14:textId="77777777" w:rsidR="00D2146A" w:rsidRPr="00340AE5" w:rsidRDefault="003F2C4A" w:rsidP="00D2146A">
      <w:pPr>
        <w:spacing w:before="240" w:line="276" w:lineRule="auto"/>
        <w:jc w:val="both"/>
        <w:rPr>
          <w:rFonts w:ascii="Gadugi" w:eastAsia="Century Gothic" w:hAnsi="Gadugi" w:cs="Century Gothic"/>
          <w:sz w:val="22"/>
          <w:szCs w:val="22"/>
        </w:rPr>
      </w:pPr>
      <w:bookmarkStart w:id="61" w:name="_heading=h.ld1qekph0q48" w:colFirst="0" w:colLast="0"/>
      <w:bookmarkEnd w:id="61"/>
      <w:r w:rsidRPr="00340AE5">
        <w:rPr>
          <w:rFonts w:ascii="Gadugi" w:eastAsia="Century Gothic" w:hAnsi="Gadugi" w:cs="Century Gothic"/>
          <w:sz w:val="22"/>
          <w:szCs w:val="22"/>
        </w:rPr>
        <w:t xml:space="preserve">A partir de los comentarios recibidos por las entidades, academia y organizaciones de la sociedad civil, se reformula el proyecto de ley, entendiendo que la violencia de género es una violación de los derechos humanos y que todas las mujeres tienen derecho a una vida libre de violencia. Iniciativas como esta son fundamentales para seguir avanzando en el cumplimiento de los compromisos internacionales del estado colombiano, especialmente en lo que respecta a la Convención de Belém do Pará. </w:t>
      </w:r>
    </w:p>
    <w:p w14:paraId="6C19795A" w14:textId="77777777" w:rsidR="00552271" w:rsidRPr="00340AE5" w:rsidRDefault="003F2C4A" w:rsidP="00DE0D0E">
      <w:pPr>
        <w:pStyle w:val="Prrafodelista"/>
        <w:numPr>
          <w:ilvl w:val="3"/>
          <w:numId w:val="12"/>
        </w:numPr>
        <w:spacing w:before="240"/>
        <w:ind w:left="426"/>
        <w:jc w:val="both"/>
        <w:rPr>
          <w:rFonts w:ascii="Gadugi" w:eastAsia="Century Gothic" w:hAnsi="Gadugi" w:cs="Century Gothic"/>
        </w:rPr>
      </w:pPr>
      <w:r w:rsidRPr="00340AE5">
        <w:rPr>
          <w:rFonts w:ascii="Gadugi" w:eastAsia="Century Gothic" w:hAnsi="Gadugi" w:cs="Century Gothic"/>
          <w:b/>
          <w:color w:val="000000"/>
        </w:rPr>
        <w:t>IMPACTO FISCAL</w:t>
      </w:r>
    </w:p>
    <w:p w14:paraId="285169CF" w14:textId="77777777" w:rsidR="00552271" w:rsidRPr="00340AE5" w:rsidRDefault="003F2C4A">
      <w:pPr>
        <w:spacing w:before="240" w:after="24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La Ley 819 de 2003 “Por la cual se dictan normas orgánicas en materia de presupuesto, responsabilidad y transparencia fiscal y se dictan otras disposiciones”, establece, en su artículo 7 que “</w:t>
      </w:r>
      <w:r w:rsidRPr="00340AE5">
        <w:rPr>
          <w:rFonts w:ascii="Gadugi" w:eastAsia="Century Gothic" w:hAnsi="Gadugi" w:cs="Century Gothic"/>
          <w:i/>
          <w:sz w:val="22"/>
          <w:szCs w:val="22"/>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Pr="00340AE5">
        <w:rPr>
          <w:rFonts w:ascii="Gadugi" w:eastAsia="Century Gothic" w:hAnsi="Gadugi" w:cs="Century Gothic"/>
          <w:sz w:val="22"/>
          <w:szCs w:val="22"/>
        </w:rPr>
        <w:t>”. De conformidad con lo previsto en dicha disposición, en lo que sigue esta sección presentará el posible impacto fiscal y la fuente de financiación de la iniciativa.</w:t>
      </w:r>
    </w:p>
    <w:p w14:paraId="5654E445" w14:textId="77777777" w:rsidR="00552271" w:rsidRPr="00340AE5" w:rsidRDefault="003F2C4A">
      <w:pPr>
        <w:spacing w:before="240" w:after="24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11C5FC24" w14:textId="77777777" w:rsidR="00552271" w:rsidRPr="00340AE5" w:rsidRDefault="003F2C4A" w:rsidP="00C14DAE">
      <w:pPr>
        <w:tabs>
          <w:tab w:val="left" w:pos="851"/>
        </w:tabs>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366B915" w14:textId="77777777" w:rsidR="00552271" w:rsidRPr="00340AE5" w:rsidRDefault="003F2C4A">
      <w:pPr>
        <w:spacing w:before="240" w:after="24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Con relación a los posibles costos, se evidencia que el presente proyecto no genera ninguna erogación adicional al Estado.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46D749D3" w14:textId="77777777" w:rsidR="00552271" w:rsidRPr="00340AE5" w:rsidRDefault="003F2C4A" w:rsidP="00C14DAE">
      <w:pPr>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C37EC68" w14:textId="77777777" w:rsidR="00552271" w:rsidRPr="00340AE5" w:rsidRDefault="003F2C4A" w:rsidP="00C14DAE">
      <w:pPr>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Precisamente, los obstáculos casi insuperables que se generarían para la actividad legislativa del Congreso de la República conducirían a concederle una forma de poder de veto al Ministro de Hacienda sobre las iniciativas de ley en el Parlamento.</w:t>
      </w:r>
    </w:p>
    <w:p w14:paraId="187539EF" w14:textId="35520EA1" w:rsidR="00552271" w:rsidRPr="00340AE5" w:rsidRDefault="003F2C4A" w:rsidP="00C14DAE">
      <w:pPr>
        <w:spacing w:before="240" w:after="240" w:line="276" w:lineRule="auto"/>
        <w:ind w:left="567" w:right="618"/>
        <w:jc w:val="both"/>
        <w:rPr>
          <w:rFonts w:ascii="Gadugi" w:eastAsia="Century Gothic" w:hAnsi="Gadugi" w:cs="Century Gothic"/>
          <w:i/>
          <w:sz w:val="22"/>
          <w:szCs w:val="22"/>
        </w:rPr>
      </w:pPr>
      <w:r w:rsidRPr="00340AE5">
        <w:rPr>
          <w:rFonts w:ascii="Gadugi" w:eastAsia="Century Gothic" w:hAnsi="Gadugi" w:cs="Century Gothic"/>
          <w:i/>
          <w:sz w:val="22"/>
          <w:szCs w:val="22"/>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643C4BBB" w14:textId="77777777" w:rsidR="00552271" w:rsidRPr="00340AE5" w:rsidRDefault="003F2C4A" w:rsidP="00DE0D0E">
      <w:pPr>
        <w:pStyle w:val="Prrafodelista"/>
        <w:numPr>
          <w:ilvl w:val="3"/>
          <w:numId w:val="12"/>
        </w:numPr>
        <w:pBdr>
          <w:top w:val="nil"/>
          <w:left w:val="nil"/>
          <w:bottom w:val="nil"/>
          <w:right w:val="nil"/>
          <w:between w:val="nil"/>
        </w:pBdr>
        <w:ind w:left="426"/>
        <w:rPr>
          <w:rFonts w:ascii="Gadugi" w:eastAsia="Century Gothic" w:hAnsi="Gadugi" w:cs="Century Gothic"/>
          <w:b/>
          <w:color w:val="000000"/>
        </w:rPr>
      </w:pPr>
      <w:r w:rsidRPr="00340AE5">
        <w:rPr>
          <w:rFonts w:ascii="Gadugi" w:eastAsia="Century Gothic" w:hAnsi="Gadugi" w:cs="Century Gothic"/>
          <w:b/>
          <w:color w:val="000000"/>
        </w:rPr>
        <w:t>CONFLICTO DE INTERÉS</w:t>
      </w:r>
    </w:p>
    <w:p w14:paraId="783230D4"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 .</w:t>
      </w:r>
    </w:p>
    <w:p w14:paraId="3888246F" w14:textId="77777777" w:rsidR="00552271" w:rsidRPr="00340AE5" w:rsidRDefault="00552271">
      <w:pPr>
        <w:spacing w:line="276" w:lineRule="auto"/>
        <w:jc w:val="both"/>
        <w:rPr>
          <w:rFonts w:ascii="Gadugi" w:eastAsia="Century Gothic" w:hAnsi="Gadugi" w:cs="Century Gothic"/>
          <w:sz w:val="22"/>
          <w:szCs w:val="22"/>
        </w:rPr>
      </w:pPr>
    </w:p>
    <w:p w14:paraId="59EA940F"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En línea con lo anterior, el literal c) del artículo 1º de la Ley 2003 de 2019 establece     que no hay conflicto de interés: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73EE635" w14:textId="77777777" w:rsidR="00552271" w:rsidRPr="00340AE5" w:rsidRDefault="00552271">
      <w:pPr>
        <w:spacing w:line="276" w:lineRule="auto"/>
        <w:jc w:val="both"/>
        <w:rPr>
          <w:rFonts w:ascii="Gadugi" w:eastAsia="Century Gothic" w:hAnsi="Gadugi" w:cs="Century Gothic"/>
          <w:sz w:val="22"/>
          <w:szCs w:val="22"/>
        </w:rPr>
      </w:pPr>
    </w:p>
    <w:p w14:paraId="6312422A"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 De esta manera, si se analiza esta situación a la luz de este Proyecto de Ley, esta iniciativa generaría conflicto de interés únicamente para las y los congresistas que figuren como partes en procesos activos de divorcio, declaración de unión marital de hecho y cesación de efectos civiles de matrimonio católico donde concurra una situación de violencia en el contexto familiar. También, es susceptible de generar conflictos de interés respecto de aquellos congresistas que tienen familiares que figuren como partes en procesos activos de divorcio, declaración de unión marital de hecho y cesación de efectos civiles de matrimonio católico donde concurra una situación de violencia en el contexto familiar.</w:t>
      </w:r>
    </w:p>
    <w:p w14:paraId="4E8126F7" w14:textId="77777777" w:rsidR="00552271" w:rsidRPr="00340AE5" w:rsidRDefault="003F2C4A">
      <w:pPr>
        <w:spacing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 </w:t>
      </w:r>
    </w:p>
    <w:p w14:paraId="4BC0A62D" w14:textId="77777777" w:rsidR="00552271" w:rsidRPr="00340AE5" w:rsidRDefault="003F2C4A">
      <w:pP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sz w:val="22"/>
          <w:szCs w:val="22"/>
        </w:rPr>
        <w:t xml:space="preserve">Lo anterior, en atención al deber de los congresistas de examinar, en cada caso en concreto, la existencia de posibles hechos generadores de conflictos de interés, en cuyo evento deberán declararlos de conformidad con lo dispuesto en el inciso 1 del artículo 286 </w:t>
      </w:r>
      <w:r w:rsidRPr="00340AE5">
        <w:rPr>
          <w:rFonts w:ascii="Gadugi" w:eastAsia="Century Gothic" w:hAnsi="Gadugi" w:cs="Century Gothic"/>
          <w:i/>
          <w:sz w:val="22"/>
          <w:szCs w:val="22"/>
        </w:rPr>
        <w:t>ibídem</w:t>
      </w:r>
      <w:r w:rsidRPr="00340AE5">
        <w:rPr>
          <w:rFonts w:ascii="Gadugi" w:eastAsia="Century Gothic" w:hAnsi="Gadugi" w:cs="Century Gothic"/>
          <w:sz w:val="22"/>
          <w:szCs w:val="22"/>
        </w:rPr>
        <w:t>: “Todos los congresistas deberán declarar los conflictos de intereses que pudieran surgir en ejercicio de sus funciones”.</w:t>
      </w:r>
    </w:p>
    <w:p w14:paraId="65D3F196" w14:textId="77777777" w:rsidR="00E720C9" w:rsidRPr="00340AE5" w:rsidRDefault="00E720C9" w:rsidP="00E720C9">
      <w:pPr>
        <w:ind w:firstLine="720"/>
        <w:rPr>
          <w:rFonts w:ascii="Gadugi" w:eastAsia="Century Gothic" w:hAnsi="Gadugi"/>
          <w:sz w:val="22"/>
          <w:szCs w:val="22"/>
        </w:rPr>
      </w:pPr>
    </w:p>
    <w:p w14:paraId="13F77455" w14:textId="6D9AD339" w:rsidR="00E720C9" w:rsidRPr="00340AE5" w:rsidRDefault="00E720C9" w:rsidP="00DE0D0E">
      <w:pPr>
        <w:pStyle w:val="Ttulo2"/>
        <w:keepNext w:val="0"/>
        <w:keepLines w:val="0"/>
        <w:widowControl w:val="0"/>
        <w:numPr>
          <w:ilvl w:val="3"/>
          <w:numId w:val="12"/>
        </w:numPr>
        <w:spacing w:before="0" w:line="276" w:lineRule="auto"/>
        <w:ind w:left="426"/>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PLIEGO DE MODIFICACIONES</w:t>
      </w:r>
    </w:p>
    <w:p w14:paraId="661EF100" w14:textId="77777777" w:rsidR="00E720C9" w:rsidRDefault="00E720C9" w:rsidP="00E720C9">
      <w:pPr>
        <w:rPr>
          <w:rFonts w:eastAsia="Century Gothic"/>
        </w:rPr>
      </w:pPr>
    </w:p>
    <w:tbl>
      <w:tblPr>
        <w:tblStyle w:val="Tablaconcuadrcula"/>
        <w:tblW w:w="10490" w:type="dxa"/>
        <w:tblInd w:w="-714" w:type="dxa"/>
        <w:tblLook w:val="04A0" w:firstRow="1" w:lastRow="0" w:firstColumn="1" w:lastColumn="0" w:noHBand="0" w:noVBand="1"/>
      </w:tblPr>
      <w:tblGrid>
        <w:gridCol w:w="3828"/>
        <w:gridCol w:w="3827"/>
        <w:gridCol w:w="2835"/>
      </w:tblGrid>
      <w:tr w:rsidR="00E720C9" w:rsidRPr="00676E2B" w14:paraId="2FC7D28D" w14:textId="77777777" w:rsidTr="00676E2B">
        <w:tc>
          <w:tcPr>
            <w:tcW w:w="3828" w:type="dxa"/>
          </w:tcPr>
          <w:p w14:paraId="3BC87021" w14:textId="5A0EE8E4" w:rsidR="00E720C9" w:rsidRPr="00676E2B" w:rsidRDefault="00E720C9" w:rsidP="00E720C9">
            <w:pPr>
              <w:jc w:val="center"/>
              <w:rPr>
                <w:rFonts w:ascii="Gadugi" w:eastAsia="Century Gothic" w:hAnsi="Gadugi"/>
                <w:b/>
                <w:bCs/>
                <w:sz w:val="20"/>
                <w:szCs w:val="20"/>
              </w:rPr>
            </w:pPr>
            <w:r w:rsidRPr="00676E2B">
              <w:rPr>
                <w:rFonts w:ascii="Gadugi" w:eastAsia="Century Gothic" w:hAnsi="Gadugi"/>
                <w:b/>
                <w:bCs/>
                <w:sz w:val="20"/>
                <w:szCs w:val="20"/>
              </w:rPr>
              <w:t>TEXTO APROBADO PRIMER DEBATE EN LA COMISIÓN PRIMERA CONSTITUCIONAL PERMANENTE DE LA CÁMARA DE REPRESENTANTES</w:t>
            </w:r>
          </w:p>
        </w:tc>
        <w:tc>
          <w:tcPr>
            <w:tcW w:w="3827" w:type="dxa"/>
          </w:tcPr>
          <w:p w14:paraId="13826461" w14:textId="7EAE50CB" w:rsidR="00E720C9" w:rsidRPr="00676E2B" w:rsidRDefault="00E720C9" w:rsidP="00E720C9">
            <w:pPr>
              <w:jc w:val="center"/>
              <w:rPr>
                <w:rFonts w:ascii="Gadugi" w:eastAsia="Century Gothic" w:hAnsi="Gadugi"/>
                <w:b/>
                <w:bCs/>
                <w:sz w:val="20"/>
                <w:szCs w:val="20"/>
              </w:rPr>
            </w:pPr>
            <w:r w:rsidRPr="00676E2B">
              <w:rPr>
                <w:rFonts w:ascii="Gadugi" w:eastAsia="Century Gothic" w:hAnsi="Gadugi"/>
                <w:b/>
                <w:bCs/>
                <w:sz w:val="20"/>
                <w:szCs w:val="20"/>
              </w:rPr>
              <w:t>TEXTO PROPUESTO PARA SEGUNDO DEBATE EN LA PLENARIA DE LA CÁMARA DE REPRESENTANTES</w:t>
            </w:r>
          </w:p>
        </w:tc>
        <w:tc>
          <w:tcPr>
            <w:tcW w:w="2835" w:type="dxa"/>
          </w:tcPr>
          <w:p w14:paraId="0C518E2C" w14:textId="30C00778" w:rsidR="00E720C9" w:rsidRPr="00676E2B" w:rsidRDefault="00676E2B" w:rsidP="00E720C9">
            <w:pPr>
              <w:jc w:val="center"/>
              <w:rPr>
                <w:rFonts w:ascii="Gadugi" w:eastAsia="Century Gothic" w:hAnsi="Gadugi"/>
                <w:b/>
                <w:bCs/>
                <w:sz w:val="20"/>
                <w:szCs w:val="20"/>
              </w:rPr>
            </w:pPr>
            <w:r>
              <w:rPr>
                <w:rFonts w:ascii="Gadugi" w:eastAsia="Century Gothic" w:hAnsi="Gadugi"/>
                <w:b/>
                <w:bCs/>
                <w:sz w:val="20"/>
                <w:szCs w:val="20"/>
              </w:rPr>
              <w:t>COMENTARIOS</w:t>
            </w:r>
          </w:p>
        </w:tc>
      </w:tr>
      <w:tr w:rsidR="00C14DAE" w:rsidRPr="00676E2B" w14:paraId="6F3CF506" w14:textId="77777777" w:rsidTr="00676E2B">
        <w:tc>
          <w:tcPr>
            <w:tcW w:w="3828" w:type="dxa"/>
          </w:tcPr>
          <w:p w14:paraId="13CA6F3E" w14:textId="77777777" w:rsidR="00C14DAE" w:rsidRPr="00676E2B" w:rsidRDefault="00C14DAE" w:rsidP="00677A8D">
            <w:pPr>
              <w:jc w:val="both"/>
              <w:rPr>
                <w:rFonts w:ascii="Gadugi" w:eastAsia="Century Gothic" w:hAnsi="Gadugi" w:cs="Century Gothic"/>
                <w:b/>
                <w:sz w:val="20"/>
                <w:szCs w:val="20"/>
              </w:rPr>
            </w:pPr>
          </w:p>
        </w:tc>
        <w:tc>
          <w:tcPr>
            <w:tcW w:w="3827" w:type="dxa"/>
          </w:tcPr>
          <w:p w14:paraId="581A495B" w14:textId="5ED06662" w:rsidR="00C14DAE" w:rsidRPr="00C14DAE" w:rsidRDefault="00C14DAE" w:rsidP="00E720C9">
            <w:pPr>
              <w:jc w:val="center"/>
              <w:rPr>
                <w:rFonts w:ascii="Gadugi" w:eastAsia="Century Gothic" w:hAnsi="Gadugi"/>
                <w:b/>
                <w:bCs/>
                <w:sz w:val="20"/>
                <w:szCs w:val="20"/>
                <w:u w:val="single"/>
              </w:rPr>
            </w:pPr>
            <w:r w:rsidRPr="00C14DAE">
              <w:rPr>
                <w:rFonts w:ascii="Gadugi" w:eastAsia="Century Gothic" w:hAnsi="Gadugi"/>
                <w:b/>
                <w:bCs/>
                <w:sz w:val="20"/>
                <w:szCs w:val="20"/>
                <w:u w:val="single"/>
              </w:rPr>
              <w:t xml:space="preserve">TITULO I </w:t>
            </w:r>
            <w:r w:rsidRPr="00C14DAE">
              <w:rPr>
                <w:rFonts w:ascii="Gadugi" w:eastAsia="Century Gothic" w:hAnsi="Gadugi"/>
                <w:b/>
                <w:bCs/>
                <w:sz w:val="20"/>
                <w:szCs w:val="20"/>
                <w:u w:val="single"/>
              </w:rPr>
              <w:br/>
              <w:t xml:space="preserve">DISPOSICIONES GENERALES </w:t>
            </w:r>
          </w:p>
        </w:tc>
        <w:tc>
          <w:tcPr>
            <w:tcW w:w="2835" w:type="dxa"/>
          </w:tcPr>
          <w:p w14:paraId="037D0BDE" w14:textId="71DDD97B" w:rsidR="00C14DAE" w:rsidRPr="00676E2B" w:rsidRDefault="00C14DAE" w:rsidP="00E720C9">
            <w:pPr>
              <w:rPr>
                <w:rFonts w:eastAsia="Century Gothic"/>
                <w:sz w:val="20"/>
                <w:szCs w:val="20"/>
              </w:rPr>
            </w:pPr>
            <w:r>
              <w:rPr>
                <w:rFonts w:eastAsia="Century Gothic"/>
                <w:sz w:val="20"/>
                <w:szCs w:val="20"/>
              </w:rPr>
              <w:t xml:space="preserve">Se organiza y se </w:t>
            </w:r>
            <w:r w:rsidR="00A97D62">
              <w:rPr>
                <w:rFonts w:eastAsia="Century Gothic"/>
                <w:sz w:val="20"/>
                <w:szCs w:val="20"/>
              </w:rPr>
              <w:t>adiciona el</w:t>
            </w:r>
            <w:r>
              <w:rPr>
                <w:rFonts w:eastAsia="Century Gothic"/>
                <w:sz w:val="20"/>
                <w:szCs w:val="20"/>
              </w:rPr>
              <w:t xml:space="preserve"> título I para </w:t>
            </w:r>
            <w:r w:rsidR="00A97D62">
              <w:rPr>
                <w:rFonts w:eastAsia="Century Gothic"/>
                <w:sz w:val="20"/>
                <w:szCs w:val="20"/>
              </w:rPr>
              <w:t>dar un</w:t>
            </w:r>
            <w:r>
              <w:rPr>
                <w:rFonts w:eastAsia="Century Gothic"/>
                <w:sz w:val="20"/>
                <w:szCs w:val="20"/>
              </w:rPr>
              <w:t xml:space="preserve"> orden a los regulado en el presente proyecto de ley. </w:t>
            </w:r>
          </w:p>
        </w:tc>
      </w:tr>
      <w:tr w:rsidR="00E720C9" w:rsidRPr="00676E2B" w14:paraId="60F26F9A" w14:textId="77777777" w:rsidTr="00676E2B">
        <w:tc>
          <w:tcPr>
            <w:tcW w:w="3828" w:type="dxa"/>
          </w:tcPr>
          <w:p w14:paraId="1FE53747" w14:textId="7374A2FE" w:rsidR="00E720C9" w:rsidRPr="00676E2B" w:rsidRDefault="00E720C9" w:rsidP="00677A8D">
            <w:pPr>
              <w:jc w:val="both"/>
              <w:rPr>
                <w:rFonts w:ascii="Gadugi" w:eastAsia="Century Gothic" w:hAnsi="Gadugi" w:cs="Century Gothic"/>
                <w:sz w:val="20"/>
                <w:szCs w:val="20"/>
              </w:rPr>
            </w:pPr>
            <w:r w:rsidRPr="00676E2B">
              <w:rPr>
                <w:rFonts w:ascii="Gadugi" w:eastAsia="Century Gothic" w:hAnsi="Gadugi" w:cs="Century Gothic"/>
                <w:b/>
                <w:sz w:val="20"/>
                <w:szCs w:val="20"/>
              </w:rPr>
              <w:t>Artículo 1.</w:t>
            </w:r>
            <w:r w:rsidRPr="00676E2B">
              <w:rPr>
                <w:rFonts w:ascii="Gadugi" w:eastAsia="Century Gothic" w:hAnsi="Gadugi" w:cs="Century Gothic"/>
                <w:sz w:val="20"/>
                <w:szCs w:val="20"/>
              </w:rPr>
              <w:t xml:space="preserve"> </w:t>
            </w:r>
            <w:r w:rsidRPr="00676E2B">
              <w:rPr>
                <w:rFonts w:ascii="Gadugi" w:eastAsia="Century Gothic" w:hAnsi="Gadugi" w:cs="Century Gothic"/>
                <w:b/>
                <w:sz w:val="20"/>
                <w:szCs w:val="20"/>
              </w:rPr>
              <w:t>Objeto.</w:t>
            </w:r>
            <w:r w:rsidRPr="00676E2B">
              <w:rPr>
                <w:rFonts w:ascii="Gadugi" w:eastAsia="Century Gothic" w:hAnsi="Gadugi" w:cs="Century Gothic"/>
                <w:sz w:val="20"/>
                <w:szCs w:val="20"/>
              </w:rPr>
              <w:t xml:space="preserve"> 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tc>
        <w:tc>
          <w:tcPr>
            <w:tcW w:w="3827" w:type="dxa"/>
          </w:tcPr>
          <w:p w14:paraId="37866048" w14:textId="7E0815F8" w:rsidR="00E720C9" w:rsidRPr="00676E2B" w:rsidRDefault="00E720C9" w:rsidP="00E720C9">
            <w:pPr>
              <w:jc w:val="center"/>
              <w:rPr>
                <w:rFonts w:ascii="Gadugi" w:eastAsia="Century Gothic" w:hAnsi="Gadugi"/>
                <w:sz w:val="20"/>
                <w:szCs w:val="20"/>
              </w:rPr>
            </w:pPr>
            <w:r w:rsidRPr="00676E2B">
              <w:rPr>
                <w:rFonts w:ascii="Gadugi" w:eastAsia="Century Gothic" w:hAnsi="Gadugi"/>
                <w:sz w:val="20"/>
                <w:szCs w:val="20"/>
              </w:rPr>
              <w:t>Sin modificaciones</w:t>
            </w:r>
          </w:p>
        </w:tc>
        <w:tc>
          <w:tcPr>
            <w:tcW w:w="2835" w:type="dxa"/>
          </w:tcPr>
          <w:p w14:paraId="39287A8E" w14:textId="77777777" w:rsidR="00E720C9" w:rsidRPr="00676E2B" w:rsidRDefault="00E720C9" w:rsidP="00E720C9">
            <w:pPr>
              <w:rPr>
                <w:rFonts w:eastAsia="Century Gothic"/>
                <w:sz w:val="20"/>
                <w:szCs w:val="20"/>
              </w:rPr>
            </w:pPr>
          </w:p>
        </w:tc>
      </w:tr>
      <w:tr w:rsidR="00E720C9" w:rsidRPr="00676E2B" w14:paraId="5CCA7DDE" w14:textId="77777777" w:rsidTr="00676E2B">
        <w:tc>
          <w:tcPr>
            <w:tcW w:w="3828" w:type="dxa"/>
          </w:tcPr>
          <w:p w14:paraId="4FB054DD" w14:textId="5C9DD5F2" w:rsidR="00E720C9" w:rsidRPr="00676E2B" w:rsidRDefault="00E720C9" w:rsidP="00677A8D">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2. Alcance. </w:t>
            </w:r>
            <w:r w:rsidRPr="00676E2B">
              <w:rPr>
                <w:rFonts w:ascii="Gadugi" w:eastAsia="Century Gothic" w:hAnsi="Gadugi" w:cs="Century Gothic"/>
                <w:sz w:val="20"/>
                <w:szCs w:val="20"/>
              </w:rPr>
              <w:t xml:space="preserve">Los principios y disposiciones contenidas en la presente ley serán aplicables para los procesos de divorcio, los de declaración de unión marital de hecho y cesación de efectos civiles de matrimonio católico reglamentados en el Código General del Proceso o cualquier norma que la derogue o modifique. </w:t>
            </w:r>
          </w:p>
        </w:tc>
        <w:tc>
          <w:tcPr>
            <w:tcW w:w="3827" w:type="dxa"/>
          </w:tcPr>
          <w:p w14:paraId="3AB48E08" w14:textId="03280E3A"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3BB9AA63" w14:textId="77777777" w:rsidR="00E720C9" w:rsidRPr="00676E2B" w:rsidRDefault="00E720C9" w:rsidP="00E720C9">
            <w:pPr>
              <w:rPr>
                <w:rFonts w:eastAsia="Century Gothic"/>
                <w:sz w:val="20"/>
                <w:szCs w:val="20"/>
              </w:rPr>
            </w:pPr>
          </w:p>
        </w:tc>
      </w:tr>
      <w:tr w:rsidR="00E720C9" w:rsidRPr="00676E2B" w14:paraId="714C8C5C" w14:textId="77777777" w:rsidTr="00676E2B">
        <w:tc>
          <w:tcPr>
            <w:tcW w:w="3828" w:type="dxa"/>
          </w:tcPr>
          <w:p w14:paraId="5F4B88AF" w14:textId="2E257F81" w:rsidR="00E720C9" w:rsidRPr="00676E2B" w:rsidRDefault="00E720C9" w:rsidP="00677A8D">
            <w:pPr>
              <w:jc w:val="both"/>
              <w:rPr>
                <w:rFonts w:ascii="Gadugi" w:hAnsi="Gadugi"/>
                <w:sz w:val="20"/>
                <w:szCs w:val="20"/>
                <w:lang w:eastAsia="es-CO"/>
              </w:rPr>
            </w:pPr>
            <w:r w:rsidRPr="00676E2B">
              <w:rPr>
                <w:rFonts w:ascii="Gadugi" w:eastAsia="Century Gothic" w:hAnsi="Gadugi" w:cs="Century Gothic"/>
                <w:b/>
                <w:sz w:val="20"/>
                <w:szCs w:val="20"/>
              </w:rPr>
              <w:t xml:space="preserve">Artículo 3. Principio de reparación integral de perjuicios por violencias basadas en género y otras violencias en el contexto familiar. </w:t>
            </w:r>
            <w:r w:rsidRPr="00676E2B">
              <w:rPr>
                <w:rFonts w:ascii="Gadugi" w:hAnsi="Gadugi"/>
                <w:sz w:val="20"/>
                <w:szCs w:val="20"/>
                <w:lang w:eastAsia="es-CO"/>
              </w:rPr>
              <w:t>La reparación integral implica la obligación de restablecer los derechos vulnerados de las víctimas de violencias basadas en género y de violencias en el contexto familiar, incluyendo los daños de carácter material, moral y a la vida de relación. Esta debe ser adecuada, diferenciada y efectiva, considerando las condiciones particulares de cada víctima, y procurando su restitución, rehabilitación, compensación, satisfacción y garantías de no repetición. Su finalidad es dignificar a la persona afectada, contribuir a la superación de las consecuencias de la violencia sufrida y garantizar su derecho a una vida libre de violencias, sin que ello implique retornar a situaciones de vulnerabilidad previas al hecho dañoso.</w:t>
            </w:r>
          </w:p>
        </w:tc>
        <w:tc>
          <w:tcPr>
            <w:tcW w:w="3827" w:type="dxa"/>
          </w:tcPr>
          <w:p w14:paraId="6FC79603" w14:textId="1B8B556D"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56D2D545" w14:textId="77777777" w:rsidR="00E720C9" w:rsidRPr="00676E2B" w:rsidRDefault="00E720C9" w:rsidP="00E720C9">
            <w:pPr>
              <w:rPr>
                <w:rFonts w:eastAsia="Century Gothic"/>
                <w:sz w:val="20"/>
                <w:szCs w:val="20"/>
              </w:rPr>
            </w:pPr>
          </w:p>
        </w:tc>
      </w:tr>
      <w:tr w:rsidR="00E720C9" w:rsidRPr="00676E2B" w14:paraId="750D83CC" w14:textId="77777777" w:rsidTr="00676E2B">
        <w:tc>
          <w:tcPr>
            <w:tcW w:w="3828" w:type="dxa"/>
          </w:tcPr>
          <w:p w14:paraId="438F5EB3" w14:textId="77777777" w:rsidR="00E720C9" w:rsidRPr="00676E2B" w:rsidRDefault="00E720C9" w:rsidP="00E720C9">
            <w:pPr>
              <w:jc w:val="both"/>
              <w:rPr>
                <w:rFonts w:ascii="Gadugi" w:eastAsia="Century Gothic" w:hAnsi="Gadugi" w:cs="Century Gothic"/>
                <w:b/>
                <w:sz w:val="20"/>
                <w:szCs w:val="20"/>
              </w:rPr>
            </w:pPr>
            <w:r w:rsidRPr="00676E2B">
              <w:rPr>
                <w:rFonts w:ascii="Gadugi" w:eastAsia="Century Gothic" w:hAnsi="Gadugi" w:cs="Century Gothic"/>
                <w:b/>
                <w:sz w:val="20"/>
                <w:szCs w:val="20"/>
              </w:rPr>
              <w:t>Artículo 4. Derechos en el incidente de reparación integral de perjuicios por violencia basada en género y violencias en el contexto familiar.</w:t>
            </w:r>
            <w:r w:rsidRPr="00676E2B">
              <w:rPr>
                <w:rFonts w:ascii="Gadugi" w:eastAsia="Century Gothic" w:hAnsi="Gadugi" w:cs="Century Gothic"/>
                <w:sz w:val="20"/>
                <w:szCs w:val="20"/>
              </w:rPr>
              <w:t xml:space="preserve"> Se tendrán como derechos de las personas involucradas en el incidente de reparación integral de perjuicios por violencias basadas en género en procesos de divorcio y los de declaración de unión marital de hecho, sin perjuicio de los establecidos en la Constitución Política, en las Convenciones suscritas y ratificadas por Colombia y en leyes especiales los siguientes:</w:t>
            </w:r>
          </w:p>
          <w:p w14:paraId="6E30C334" w14:textId="77777777" w:rsidR="00E720C9" w:rsidRPr="00676E2B" w:rsidRDefault="00E720C9" w:rsidP="00E720C9">
            <w:pPr>
              <w:numPr>
                <w:ilvl w:val="0"/>
                <w:numId w:val="37"/>
              </w:numPr>
              <w:spacing w:line="259" w:lineRule="auto"/>
              <w:jc w:val="both"/>
              <w:rPr>
                <w:rFonts w:ascii="Gadugi" w:eastAsia="Century Gothic" w:hAnsi="Gadugi" w:cs="Century Gothic"/>
                <w:b/>
                <w:sz w:val="20"/>
                <w:szCs w:val="20"/>
              </w:rPr>
            </w:pPr>
            <w:r w:rsidRPr="00676E2B">
              <w:rPr>
                <w:rFonts w:ascii="Gadugi" w:eastAsia="Century Gothic" w:hAnsi="Gadugi" w:cs="Century Gothic"/>
                <w:b/>
                <w:sz w:val="20"/>
                <w:szCs w:val="20"/>
              </w:rPr>
              <w:t xml:space="preserve">Derecho al debido proceso: </w:t>
            </w:r>
            <w:r w:rsidRPr="00676E2B">
              <w:rPr>
                <w:rFonts w:ascii="Gadugi" w:eastAsia="Century Gothic" w:hAnsi="Gadugi" w:cs="Century Gothic"/>
                <w:sz w:val="20"/>
                <w:szCs w:val="20"/>
              </w:rPr>
              <w:t>Las partes contarán con todas las garantías procesales necesarias para asegurar la protección de sus derechos, la igualdad de condiciones en la actuación judicial y la materialización efectiva de la justicia.</w:t>
            </w:r>
          </w:p>
          <w:p w14:paraId="07FD901C" w14:textId="77777777" w:rsidR="00E720C9" w:rsidRPr="00676E2B" w:rsidRDefault="00E720C9" w:rsidP="00E720C9">
            <w:pPr>
              <w:numPr>
                <w:ilvl w:val="0"/>
                <w:numId w:val="37"/>
              </w:numPr>
              <w:spacing w:after="160" w:line="259" w:lineRule="auto"/>
              <w:jc w:val="both"/>
              <w:rPr>
                <w:rFonts w:ascii="Gadugi" w:eastAsia="Century Gothic" w:hAnsi="Gadugi" w:cs="Century Gothic"/>
                <w:b/>
                <w:sz w:val="20"/>
                <w:szCs w:val="20"/>
              </w:rPr>
            </w:pPr>
            <w:r w:rsidRPr="00676E2B">
              <w:rPr>
                <w:rFonts w:ascii="Gadugi" w:eastAsia="Century Gothic" w:hAnsi="Gadugi" w:cs="Century Gothic"/>
                <w:b/>
                <w:sz w:val="20"/>
                <w:szCs w:val="20"/>
              </w:rPr>
              <w:t xml:space="preserve">Derecho de no </w:t>
            </w:r>
            <w:proofErr w:type="spellStart"/>
            <w:r w:rsidRPr="00676E2B">
              <w:rPr>
                <w:rFonts w:ascii="Gadugi" w:eastAsia="Century Gothic" w:hAnsi="Gadugi" w:cs="Century Gothic"/>
                <w:b/>
                <w:sz w:val="20"/>
                <w:szCs w:val="20"/>
              </w:rPr>
              <w:t>revictimización</w:t>
            </w:r>
            <w:proofErr w:type="spellEnd"/>
            <w:r w:rsidRPr="00676E2B">
              <w:rPr>
                <w:rFonts w:ascii="Gadugi" w:eastAsia="Century Gothic" w:hAnsi="Gadugi" w:cs="Century Gothic"/>
                <w:b/>
                <w:sz w:val="20"/>
                <w:szCs w:val="20"/>
              </w:rPr>
              <w:t xml:space="preserve">: </w:t>
            </w:r>
            <w:r w:rsidRPr="00676E2B">
              <w:rPr>
                <w:rFonts w:ascii="Gadugi" w:eastAsia="Century Gothic" w:hAnsi="Gadugi" w:cs="Century Gothic"/>
                <w:sz w:val="20"/>
                <w:szCs w:val="20"/>
              </w:rPr>
              <w:t xml:space="preserve">La persona víctima de las violencias basadas en género tiene el derecho a que, en ninguna etapa del incidente, con la actuación del juez, terceros o las partes, se reproduzcan acciones, declaraciones o prácticas que profundicen el daño sufrido o que generen nuevos perjuicios adicionales al de la violencia basada en género. </w:t>
            </w:r>
          </w:p>
          <w:p w14:paraId="258E2F6E" w14:textId="77777777" w:rsidR="00E720C9" w:rsidRPr="00676E2B" w:rsidRDefault="00E720C9" w:rsidP="00E720C9">
            <w:pPr>
              <w:numPr>
                <w:ilvl w:val="0"/>
                <w:numId w:val="37"/>
              </w:numPr>
              <w:spacing w:after="160" w:line="259" w:lineRule="auto"/>
              <w:jc w:val="both"/>
              <w:rPr>
                <w:rFonts w:ascii="Gadugi" w:eastAsia="Century Gothic" w:hAnsi="Gadugi" w:cs="Century Gothic"/>
                <w:sz w:val="20"/>
                <w:szCs w:val="20"/>
              </w:rPr>
            </w:pPr>
            <w:r w:rsidRPr="00676E2B">
              <w:rPr>
                <w:rFonts w:ascii="Gadugi" w:eastAsia="Century Gothic" w:hAnsi="Gadugi" w:cs="Century Gothic"/>
                <w:b/>
                <w:sz w:val="20"/>
                <w:szCs w:val="20"/>
              </w:rPr>
              <w:t>Derecho a no ser confrontada con la persona agresora:</w:t>
            </w:r>
            <w:r w:rsidRPr="00676E2B">
              <w:rPr>
                <w:rFonts w:ascii="Gadugi" w:eastAsia="Century Gothic" w:hAnsi="Gadugi" w:cs="Century Gothic"/>
                <w:sz w:val="20"/>
                <w:szCs w:val="20"/>
              </w:rPr>
              <w:t xml:space="preserve"> La persona víctima de las violencias basadas en género tiene el derecho a decidir voluntariamente si desea o no confrontarse con la persona agresora en el marco del incidente de reparación integral de perjuicios por violencias basadas en género.</w:t>
            </w:r>
          </w:p>
          <w:p w14:paraId="5ABE5DB6" w14:textId="77777777" w:rsidR="00E720C9" w:rsidRPr="00676E2B" w:rsidRDefault="00E720C9" w:rsidP="00E720C9">
            <w:pPr>
              <w:ind w:left="708"/>
              <w:jc w:val="both"/>
              <w:rPr>
                <w:rFonts w:ascii="Gadugi" w:eastAsia="Century Gothic" w:hAnsi="Gadugi" w:cs="Century Gothic"/>
                <w:sz w:val="20"/>
                <w:szCs w:val="20"/>
              </w:rPr>
            </w:pPr>
            <w:r w:rsidRPr="00676E2B">
              <w:rPr>
                <w:rFonts w:ascii="Gadugi" w:eastAsia="Century Gothic" w:hAnsi="Gadugi" w:cs="Century Gothic"/>
                <w:sz w:val="20"/>
                <w:szCs w:val="20"/>
              </w:rPr>
              <w:t>El juez deberá adoptar las medidas necesarias para garantizar este derecho y prevenir escenarios de intimidación, coerción o afectación emocional.</w:t>
            </w:r>
          </w:p>
          <w:p w14:paraId="20B18C87" w14:textId="77777777" w:rsidR="00E720C9" w:rsidRPr="00676E2B" w:rsidRDefault="00E720C9" w:rsidP="00E720C9">
            <w:pPr>
              <w:rPr>
                <w:rFonts w:eastAsia="Century Gothic"/>
                <w:sz w:val="20"/>
                <w:szCs w:val="20"/>
              </w:rPr>
            </w:pPr>
          </w:p>
        </w:tc>
        <w:tc>
          <w:tcPr>
            <w:tcW w:w="3827" w:type="dxa"/>
          </w:tcPr>
          <w:p w14:paraId="5668C81F" w14:textId="14C8FB09"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0CD22621" w14:textId="77777777" w:rsidR="00E720C9" w:rsidRPr="00676E2B" w:rsidRDefault="00E720C9" w:rsidP="00E720C9">
            <w:pPr>
              <w:rPr>
                <w:rFonts w:eastAsia="Century Gothic"/>
                <w:sz w:val="20"/>
                <w:szCs w:val="20"/>
              </w:rPr>
            </w:pPr>
          </w:p>
        </w:tc>
      </w:tr>
      <w:tr w:rsidR="00E720C9" w:rsidRPr="00676E2B" w14:paraId="111BDA4B" w14:textId="77777777" w:rsidTr="00676E2B">
        <w:tc>
          <w:tcPr>
            <w:tcW w:w="3828" w:type="dxa"/>
          </w:tcPr>
          <w:p w14:paraId="0886B0F0" w14:textId="77777777" w:rsidR="00E720C9" w:rsidRPr="00676E2B" w:rsidRDefault="00E720C9" w:rsidP="00E720C9">
            <w:pPr>
              <w:jc w:val="both"/>
              <w:rPr>
                <w:rFonts w:ascii="Gadugi" w:hAnsi="Gadugi" w:cs="Segoe UI"/>
                <w:color w:val="242424"/>
                <w:sz w:val="20"/>
                <w:szCs w:val="20"/>
                <w:shd w:val="clear" w:color="auto" w:fill="FFFFFF"/>
              </w:rPr>
            </w:pPr>
            <w:r w:rsidRPr="00676E2B">
              <w:rPr>
                <w:rFonts w:ascii="Gadugi" w:eastAsia="Century Gothic" w:hAnsi="Gadugi" w:cs="Century Gothic"/>
                <w:b/>
                <w:sz w:val="20"/>
                <w:szCs w:val="20"/>
              </w:rPr>
              <w:t xml:space="preserve">Artículo 5. Enfoques diferenciales. </w:t>
            </w:r>
            <w:r w:rsidRPr="00676E2B">
              <w:rPr>
                <w:rFonts w:ascii="Gadugi" w:hAnsi="Gadugi" w:cs="Segoe UI"/>
                <w:color w:val="242424"/>
                <w:sz w:val="20"/>
                <w:szCs w:val="20"/>
                <w:shd w:val="clear" w:color="auto" w:fill="FFFFFF"/>
              </w:rPr>
              <w:t xml:space="preserve">Las autoridades judiciales que apliquen las disposiciones de la presente ley deberán interpretarla y aplicarla desde una perspectiva de género, incorporando también los </w:t>
            </w:r>
            <w:proofErr w:type="gramStart"/>
            <w:r w:rsidRPr="00676E2B">
              <w:rPr>
                <w:rFonts w:ascii="Gadugi" w:hAnsi="Gadugi" w:cs="Segoe UI"/>
                <w:color w:val="242424"/>
                <w:sz w:val="20"/>
                <w:szCs w:val="20"/>
                <w:shd w:val="clear" w:color="auto" w:fill="FFFFFF"/>
              </w:rPr>
              <w:t>enfoques diferencial</w:t>
            </w:r>
            <w:proofErr w:type="gramEnd"/>
            <w:r w:rsidRPr="00676E2B">
              <w:rPr>
                <w:rFonts w:ascii="Gadugi" w:hAnsi="Gadugi" w:cs="Segoe UI"/>
                <w:color w:val="242424"/>
                <w:sz w:val="20"/>
                <w:szCs w:val="20"/>
                <w:shd w:val="clear" w:color="auto" w:fill="FFFFFF"/>
              </w:rPr>
              <w:t xml:space="preserve">, </w:t>
            </w:r>
            <w:proofErr w:type="spellStart"/>
            <w:r w:rsidRPr="00676E2B">
              <w:rPr>
                <w:rFonts w:ascii="Gadugi" w:hAnsi="Gadugi" w:cs="Segoe UI"/>
                <w:color w:val="242424"/>
                <w:sz w:val="20"/>
                <w:szCs w:val="20"/>
                <w:shd w:val="clear" w:color="auto" w:fill="FFFFFF"/>
              </w:rPr>
              <w:t>interseccional</w:t>
            </w:r>
            <w:proofErr w:type="spellEnd"/>
            <w:r w:rsidRPr="00676E2B">
              <w:rPr>
                <w:rFonts w:ascii="Gadugi" w:hAnsi="Gadugi" w:cs="Segoe UI"/>
                <w:color w:val="242424"/>
                <w:sz w:val="20"/>
                <w:szCs w:val="20"/>
                <w:shd w:val="clear" w:color="auto" w:fill="FFFFFF"/>
              </w:rPr>
              <w:t xml:space="preserve"> y de orientaciones sexuales e identidades de género diversas. La interpretación y aplicación de las normas deberá reconocer y atender las múltiples formas de discriminación y desigualdad que afectan a las personas en razón de su género, identidad u orientación sexual, así como por factores étnicos, etarios, territoriales, socioeconómicos, de discapacidad u otros que generen condiciones de vulnerabilidad. </w:t>
            </w:r>
          </w:p>
          <w:p w14:paraId="228611B6" w14:textId="77777777" w:rsidR="00E720C9" w:rsidRPr="00676E2B" w:rsidRDefault="00E720C9" w:rsidP="00E720C9">
            <w:pPr>
              <w:rPr>
                <w:rFonts w:eastAsia="Century Gothic"/>
                <w:sz w:val="20"/>
                <w:szCs w:val="20"/>
              </w:rPr>
            </w:pPr>
          </w:p>
        </w:tc>
        <w:tc>
          <w:tcPr>
            <w:tcW w:w="3827" w:type="dxa"/>
          </w:tcPr>
          <w:p w14:paraId="0C623C7A" w14:textId="777C2ADB"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2FB6C121" w14:textId="77777777" w:rsidR="00E720C9" w:rsidRPr="00676E2B" w:rsidRDefault="00E720C9" w:rsidP="00E720C9">
            <w:pPr>
              <w:rPr>
                <w:rFonts w:eastAsia="Century Gothic"/>
                <w:sz w:val="20"/>
                <w:szCs w:val="20"/>
              </w:rPr>
            </w:pPr>
          </w:p>
        </w:tc>
      </w:tr>
      <w:tr w:rsidR="00677A8D" w:rsidRPr="00676E2B" w14:paraId="5AB1DE19" w14:textId="77777777" w:rsidTr="00676E2B">
        <w:tc>
          <w:tcPr>
            <w:tcW w:w="3828" w:type="dxa"/>
          </w:tcPr>
          <w:p w14:paraId="1CDA0AEB" w14:textId="4EA94090" w:rsidR="00677A8D" w:rsidRPr="00676E2B" w:rsidRDefault="00C14DAE" w:rsidP="00677A8D">
            <w:pPr>
              <w:jc w:val="center"/>
              <w:rPr>
                <w:rFonts w:ascii="Gadugi" w:eastAsia="Century Gothic" w:hAnsi="Gadugi" w:cs="Century Gothic"/>
                <w:b/>
                <w:sz w:val="20"/>
                <w:szCs w:val="20"/>
              </w:rPr>
            </w:pPr>
            <w:r>
              <w:rPr>
                <w:rFonts w:ascii="Gadugi" w:eastAsia="Century Gothic" w:hAnsi="Gadugi" w:cs="Century Gothic"/>
                <w:b/>
                <w:sz w:val="20"/>
                <w:szCs w:val="20"/>
              </w:rPr>
              <w:br/>
            </w:r>
            <w:r>
              <w:rPr>
                <w:rFonts w:ascii="Gadugi" w:eastAsia="Century Gothic" w:hAnsi="Gadugi" w:cs="Century Gothic"/>
                <w:b/>
                <w:sz w:val="20"/>
                <w:szCs w:val="20"/>
              </w:rPr>
              <w:br/>
            </w:r>
            <w:r w:rsidR="00677A8D" w:rsidRPr="00676E2B">
              <w:rPr>
                <w:rFonts w:ascii="Gadugi" w:eastAsia="Century Gothic" w:hAnsi="Gadugi" w:cs="Century Gothic"/>
                <w:b/>
                <w:sz w:val="20"/>
                <w:szCs w:val="20"/>
              </w:rPr>
              <w:t>Del trámite de incidente de reparación integral de perjuicios por violencias basadas en género dentro de los procesos de divorcio, los de declaración de unión marital de hecho y cesación de efectos civiles de matrimonio católico.</w:t>
            </w:r>
          </w:p>
        </w:tc>
        <w:tc>
          <w:tcPr>
            <w:tcW w:w="3827" w:type="dxa"/>
          </w:tcPr>
          <w:p w14:paraId="73E19AB5" w14:textId="23731110" w:rsidR="00677A8D" w:rsidRPr="00676E2B" w:rsidRDefault="00C14DAE" w:rsidP="00E720C9">
            <w:pPr>
              <w:jc w:val="center"/>
              <w:rPr>
                <w:rFonts w:ascii="Gadugi" w:eastAsia="Century Gothic" w:hAnsi="Gadugi"/>
                <w:sz w:val="20"/>
                <w:szCs w:val="20"/>
              </w:rPr>
            </w:pPr>
            <w:r w:rsidRPr="00C14DAE">
              <w:rPr>
                <w:rFonts w:ascii="Gadugi" w:eastAsia="Century Gothic" w:hAnsi="Gadugi"/>
                <w:b/>
                <w:bCs/>
                <w:sz w:val="20"/>
                <w:szCs w:val="20"/>
                <w:u w:val="single"/>
              </w:rPr>
              <w:t>TITULO II</w:t>
            </w:r>
            <w:r>
              <w:rPr>
                <w:rFonts w:ascii="Gadugi" w:eastAsia="Century Gothic" w:hAnsi="Gadugi"/>
                <w:sz w:val="20"/>
                <w:szCs w:val="20"/>
              </w:rPr>
              <w:t xml:space="preserve"> </w:t>
            </w:r>
            <w:r>
              <w:rPr>
                <w:rFonts w:ascii="Gadugi" w:eastAsia="Century Gothic" w:hAnsi="Gadugi"/>
                <w:sz w:val="20"/>
                <w:szCs w:val="20"/>
              </w:rPr>
              <w:br/>
            </w:r>
            <w:r>
              <w:rPr>
                <w:rFonts w:ascii="Gadugi" w:eastAsia="Century Gothic" w:hAnsi="Gadugi"/>
                <w:sz w:val="20"/>
                <w:szCs w:val="20"/>
              </w:rPr>
              <w:br/>
            </w:r>
            <w:r w:rsidRPr="00676E2B">
              <w:rPr>
                <w:rFonts w:ascii="Gadugi" w:eastAsia="Century Gothic" w:hAnsi="Gadugi" w:cs="Century Gothic"/>
                <w:b/>
                <w:sz w:val="20"/>
                <w:szCs w:val="20"/>
              </w:rPr>
              <w:t>DEL TRÁMITE DE INCIDENTE DE REPARACIÓN INTEGRAL DE PERJUICIOS POR VIOLENCIAS BASADAS EN GÉNERO DENTRO DE LOS PROCESOS DE DIVORCIO, LOS DE DECLARACIÓN DE UNIÓN MARITAL DE HECHO Y CESACIÓN DE EFECTOS CIVILES DE MATRIMONIO CATÓLICO.</w:t>
            </w:r>
          </w:p>
        </w:tc>
        <w:tc>
          <w:tcPr>
            <w:tcW w:w="2835" w:type="dxa"/>
          </w:tcPr>
          <w:p w14:paraId="30F8FA94" w14:textId="60D62DBC" w:rsidR="00677A8D" w:rsidRPr="00676E2B" w:rsidRDefault="00C14DAE" w:rsidP="00E720C9">
            <w:pPr>
              <w:rPr>
                <w:rFonts w:eastAsia="Century Gothic"/>
                <w:sz w:val="20"/>
                <w:szCs w:val="20"/>
              </w:rPr>
            </w:pPr>
            <w:r>
              <w:rPr>
                <w:rFonts w:eastAsia="Century Gothic"/>
                <w:sz w:val="20"/>
                <w:szCs w:val="20"/>
              </w:rPr>
              <w:t xml:space="preserve">Se adiciona el Titulo II para dar mayor claridad y estructura al Proyecto de Ley </w:t>
            </w:r>
          </w:p>
        </w:tc>
      </w:tr>
      <w:tr w:rsidR="00E720C9" w:rsidRPr="00676E2B" w14:paraId="316A5A10" w14:textId="77777777" w:rsidTr="00676E2B">
        <w:tc>
          <w:tcPr>
            <w:tcW w:w="3828" w:type="dxa"/>
          </w:tcPr>
          <w:p w14:paraId="5EBA3D37"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Artículo 6.</w:t>
            </w:r>
            <w:r w:rsidRPr="00676E2B">
              <w:rPr>
                <w:rFonts w:ascii="Gadugi" w:eastAsia="Century Gothic" w:hAnsi="Gadugi" w:cs="Century Gothic"/>
                <w:sz w:val="20"/>
                <w:szCs w:val="20"/>
              </w:rPr>
              <w:t xml:space="preserve"> Adiciónese al numeral 1 del artículo 22 de la Ley 1564 de 2012 lo siguiente: </w:t>
            </w:r>
          </w:p>
          <w:p w14:paraId="749237C6" w14:textId="769C5C9A" w:rsidR="00E720C9" w:rsidRPr="00676E2B" w:rsidRDefault="00E720C9" w:rsidP="00677A8D">
            <w:pPr>
              <w:spacing w:before="180" w:after="180"/>
              <w:jc w:val="both"/>
              <w:rPr>
                <w:rFonts w:ascii="Gadugi" w:eastAsia="Century Gothic" w:hAnsi="Gadugi" w:cs="Century Gothic"/>
                <w:sz w:val="20"/>
                <w:szCs w:val="20"/>
              </w:rPr>
            </w:pPr>
            <w:r w:rsidRPr="00676E2B">
              <w:rPr>
                <w:rFonts w:ascii="Gadugi" w:eastAsia="Century Gothic" w:hAnsi="Gadugi" w:cs="Century Gothic"/>
                <w:sz w:val="20"/>
                <w:szCs w:val="20"/>
              </w:rPr>
              <w:t>1. De los procesos contenciosos de nulidad, divorcio de matrimonio civil, cesación de efectos civiles del matrimonio religioso y separación de cuerpos y de bienes y del incidente de reparación integral de perjuicios por violencias basadas en género y otras violencias en el contexto familiar en estos procesos.</w:t>
            </w:r>
          </w:p>
        </w:tc>
        <w:tc>
          <w:tcPr>
            <w:tcW w:w="3827" w:type="dxa"/>
          </w:tcPr>
          <w:p w14:paraId="2872A08A" w14:textId="71851BC7"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5085A07A" w14:textId="77777777" w:rsidR="00E720C9" w:rsidRPr="00676E2B" w:rsidRDefault="00E720C9" w:rsidP="00E720C9">
            <w:pPr>
              <w:jc w:val="both"/>
              <w:rPr>
                <w:rFonts w:eastAsia="Century Gothic"/>
                <w:sz w:val="20"/>
                <w:szCs w:val="20"/>
              </w:rPr>
            </w:pPr>
          </w:p>
        </w:tc>
      </w:tr>
      <w:tr w:rsidR="00E720C9" w:rsidRPr="00676E2B" w14:paraId="2CBF2FE2" w14:textId="77777777" w:rsidTr="00676E2B">
        <w:tc>
          <w:tcPr>
            <w:tcW w:w="3828" w:type="dxa"/>
          </w:tcPr>
          <w:p w14:paraId="31C0F7BC"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7. </w:t>
            </w:r>
            <w:r w:rsidRPr="00676E2B">
              <w:rPr>
                <w:rFonts w:ascii="Gadugi" w:eastAsia="Century Gothic" w:hAnsi="Gadugi" w:cs="Century Gothic"/>
                <w:sz w:val="20"/>
                <w:szCs w:val="20"/>
              </w:rPr>
              <w:t xml:space="preserve">Adiciónese al artículo 389 de la Ley 1564 de 2012 lo siguiente: </w:t>
            </w:r>
          </w:p>
          <w:p w14:paraId="580DE74F" w14:textId="67996F23" w:rsidR="00E720C9" w:rsidRPr="00676E2B" w:rsidRDefault="00E720C9" w:rsidP="00677A8D">
            <w:pPr>
              <w:jc w:val="both"/>
              <w:rPr>
                <w:rFonts w:ascii="Gadugi" w:eastAsia="Century Gothic" w:hAnsi="Gadugi" w:cs="Century Gothic"/>
                <w:sz w:val="20"/>
                <w:szCs w:val="20"/>
              </w:rPr>
            </w:pPr>
            <w:r w:rsidRPr="00676E2B">
              <w:rPr>
                <w:rFonts w:ascii="Gadugi" w:eastAsia="Century Gothic" w:hAnsi="Gadugi" w:cs="Century Gothic"/>
                <w:sz w:val="20"/>
                <w:szCs w:val="20"/>
              </w:rPr>
              <w:t xml:space="preserve">7. La orden de apertura del incidente de reparación integral de perjuicios por violencias basadas en género y otras violencias en el contexto familiar dentro de los procesos de divorcio, los de declaración de unión marital de hecho y cesación de efectos civiles de matrimonio católico, si fuere el caso. </w:t>
            </w:r>
          </w:p>
        </w:tc>
        <w:tc>
          <w:tcPr>
            <w:tcW w:w="3827" w:type="dxa"/>
          </w:tcPr>
          <w:p w14:paraId="2570614D" w14:textId="57A3B538"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w:t>
            </w:r>
            <w:r w:rsidRPr="00676E2B">
              <w:rPr>
                <w:rFonts w:ascii="Gadugi" w:eastAsia="Century Gothic" w:hAnsi="Gadugi" w:cs="Century Gothic"/>
                <w:b/>
                <w:sz w:val="20"/>
                <w:szCs w:val="20"/>
                <w:u w:val="single"/>
              </w:rPr>
              <w:t>8</w:t>
            </w:r>
            <w:r w:rsidRPr="00676E2B">
              <w:rPr>
                <w:rFonts w:ascii="Gadugi" w:eastAsia="Century Gothic" w:hAnsi="Gadugi" w:cs="Century Gothic"/>
                <w:b/>
                <w:sz w:val="20"/>
                <w:szCs w:val="20"/>
              </w:rPr>
              <w:t xml:space="preserve"> </w:t>
            </w:r>
            <w:r w:rsidRPr="00676E2B">
              <w:rPr>
                <w:rFonts w:ascii="Gadugi" w:eastAsia="Century Gothic" w:hAnsi="Gadugi" w:cs="Century Gothic"/>
                <w:b/>
                <w:strike/>
                <w:sz w:val="20"/>
                <w:szCs w:val="20"/>
              </w:rPr>
              <w:t>7</w:t>
            </w:r>
            <w:r w:rsidRPr="00676E2B">
              <w:rPr>
                <w:rFonts w:ascii="Gadugi" w:eastAsia="Century Gothic" w:hAnsi="Gadugi" w:cs="Century Gothic"/>
                <w:b/>
                <w:sz w:val="20"/>
                <w:szCs w:val="20"/>
              </w:rPr>
              <w:t xml:space="preserve">. </w:t>
            </w:r>
            <w:r w:rsidRPr="00676E2B">
              <w:rPr>
                <w:rFonts w:ascii="Gadugi" w:eastAsia="Century Gothic" w:hAnsi="Gadugi" w:cs="Century Gothic"/>
                <w:sz w:val="20"/>
                <w:szCs w:val="20"/>
              </w:rPr>
              <w:t xml:space="preserve">Adiciónese al artículo 389 de la Ley 1564 de 2012 lo siguiente: </w:t>
            </w:r>
          </w:p>
          <w:p w14:paraId="286FB730" w14:textId="044980D6" w:rsidR="00E720C9" w:rsidRPr="00676E2B" w:rsidRDefault="00E720C9" w:rsidP="00677A8D">
            <w:pPr>
              <w:jc w:val="both"/>
              <w:rPr>
                <w:rFonts w:ascii="Gadugi" w:eastAsia="Century Gothic" w:hAnsi="Gadugi" w:cs="Century Gothic"/>
                <w:sz w:val="20"/>
                <w:szCs w:val="20"/>
              </w:rPr>
            </w:pPr>
            <w:r w:rsidRPr="00676E2B">
              <w:rPr>
                <w:rFonts w:ascii="Gadugi" w:eastAsia="Century Gothic" w:hAnsi="Gadugi" w:cs="Century Gothic"/>
                <w:sz w:val="20"/>
                <w:szCs w:val="20"/>
              </w:rPr>
              <w:t xml:space="preserve">7. La orden de apertura del incidente de reparación integral de perjuicios por violencias basadas en género y otras violencias en el contexto familiar dentro de los procesos de divorcio, los de declaración de unión marital de hecho y cesación de efectos civiles de matrimonio católico, si fuere el caso. </w:t>
            </w:r>
          </w:p>
        </w:tc>
        <w:tc>
          <w:tcPr>
            <w:tcW w:w="2835" w:type="dxa"/>
          </w:tcPr>
          <w:p w14:paraId="60D37F15" w14:textId="41DE72F8" w:rsidR="00E720C9" w:rsidRPr="00676E2B" w:rsidRDefault="00E720C9" w:rsidP="00E720C9">
            <w:pPr>
              <w:jc w:val="both"/>
              <w:rPr>
                <w:rFonts w:eastAsia="Century Gothic"/>
                <w:sz w:val="20"/>
                <w:szCs w:val="20"/>
              </w:rPr>
            </w:pPr>
            <w:r w:rsidRPr="00676E2B">
              <w:rPr>
                <w:rFonts w:ascii="Gadugi" w:eastAsia="Century Gothic" w:hAnsi="Gadugi" w:cs="Century Gothic"/>
                <w:sz w:val="20"/>
                <w:szCs w:val="20"/>
              </w:rPr>
              <w:t>Se cambia la numeración para mejorar el orden temático de los artículos en el proyecto.</w:t>
            </w:r>
          </w:p>
        </w:tc>
      </w:tr>
      <w:tr w:rsidR="00E720C9" w:rsidRPr="00676E2B" w14:paraId="7CB451B7" w14:textId="77777777" w:rsidTr="00676E2B">
        <w:tc>
          <w:tcPr>
            <w:tcW w:w="3828" w:type="dxa"/>
          </w:tcPr>
          <w:p w14:paraId="5476BBA7"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Artículo 8.</w:t>
            </w:r>
            <w:r w:rsidRPr="00676E2B">
              <w:rPr>
                <w:rFonts w:ascii="Gadugi" w:eastAsia="Century Gothic" w:hAnsi="Gadugi" w:cs="Century Gothic"/>
                <w:sz w:val="20"/>
                <w:szCs w:val="20"/>
              </w:rPr>
              <w:t xml:space="preserve"> Adiciónese al artículo 373 de la Ley 1564 de 2012 el siguiente numeral: </w:t>
            </w:r>
          </w:p>
          <w:p w14:paraId="3D9CB01E" w14:textId="12E05388" w:rsidR="00E720C9" w:rsidRPr="00676E2B" w:rsidRDefault="00E720C9" w:rsidP="00677A8D">
            <w:pPr>
              <w:jc w:val="both"/>
              <w:rPr>
                <w:rFonts w:ascii="Gadugi" w:eastAsia="Century Gothic" w:hAnsi="Gadugi" w:cs="Century Gothic"/>
                <w:sz w:val="20"/>
                <w:szCs w:val="20"/>
              </w:rPr>
            </w:pPr>
            <w:r w:rsidRPr="00676E2B">
              <w:rPr>
                <w:rFonts w:ascii="Gadugi" w:eastAsia="Century Gothic" w:hAnsi="Gadugi" w:cs="Century Gothic"/>
                <w:sz w:val="20"/>
                <w:szCs w:val="20"/>
              </w:rPr>
              <w:t xml:space="preserve">7. Quien haya probado violencias basadas en género en el proceso de divorcio, en la declaración de la unión marital de hecho o cesación de efectos civiles de matrimonio católico, tendrá 30 días a partir de la ejecutoria de la sentencia, para solicitar la apertura del incidente de reparación integral de perjuicios por violencias basadas en género u otras violencias en el contexto familiar.   </w:t>
            </w:r>
          </w:p>
        </w:tc>
        <w:tc>
          <w:tcPr>
            <w:tcW w:w="3827" w:type="dxa"/>
          </w:tcPr>
          <w:p w14:paraId="1F415027" w14:textId="47EE205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w:t>
            </w:r>
            <w:r w:rsidRPr="00676E2B">
              <w:rPr>
                <w:rFonts w:ascii="Gadugi" w:eastAsia="Century Gothic" w:hAnsi="Gadugi" w:cs="Century Gothic"/>
                <w:b/>
                <w:sz w:val="20"/>
                <w:szCs w:val="20"/>
                <w:u w:val="single"/>
              </w:rPr>
              <w:t>7</w:t>
            </w:r>
            <w:r w:rsidRPr="00676E2B">
              <w:rPr>
                <w:rFonts w:ascii="Gadugi" w:eastAsia="Century Gothic" w:hAnsi="Gadugi" w:cs="Century Gothic"/>
                <w:b/>
                <w:sz w:val="20"/>
                <w:szCs w:val="20"/>
              </w:rPr>
              <w:t xml:space="preserve"> </w:t>
            </w:r>
            <w:r w:rsidRPr="00676E2B">
              <w:rPr>
                <w:rFonts w:ascii="Gadugi" w:eastAsia="Century Gothic" w:hAnsi="Gadugi" w:cs="Century Gothic"/>
                <w:b/>
                <w:strike/>
                <w:sz w:val="20"/>
                <w:szCs w:val="20"/>
              </w:rPr>
              <w:t>8</w:t>
            </w:r>
            <w:r w:rsidRPr="00676E2B">
              <w:rPr>
                <w:rFonts w:ascii="Gadugi" w:eastAsia="Century Gothic" w:hAnsi="Gadugi" w:cs="Century Gothic"/>
                <w:b/>
                <w:sz w:val="20"/>
                <w:szCs w:val="20"/>
              </w:rPr>
              <w:t>.</w:t>
            </w:r>
            <w:r w:rsidRPr="00676E2B">
              <w:rPr>
                <w:rFonts w:ascii="Gadugi" w:eastAsia="Century Gothic" w:hAnsi="Gadugi" w:cs="Century Gothic"/>
                <w:sz w:val="20"/>
                <w:szCs w:val="20"/>
              </w:rPr>
              <w:t xml:space="preserve"> Adiciónese al artículo 373 de la Ley 1564 de 2012 el siguiente numeral: </w:t>
            </w:r>
          </w:p>
          <w:p w14:paraId="3F1D3F86" w14:textId="27ACAAC8" w:rsidR="00E720C9" w:rsidRPr="00676E2B" w:rsidRDefault="00E720C9" w:rsidP="00E720C9">
            <w:pPr>
              <w:jc w:val="both"/>
              <w:rPr>
                <w:rFonts w:eastAsia="Century Gothic"/>
                <w:sz w:val="20"/>
                <w:szCs w:val="20"/>
              </w:rPr>
            </w:pPr>
            <w:r w:rsidRPr="00676E2B">
              <w:rPr>
                <w:rFonts w:ascii="Gadugi" w:eastAsia="Century Gothic" w:hAnsi="Gadugi" w:cs="Century Gothic"/>
                <w:sz w:val="20"/>
                <w:szCs w:val="20"/>
              </w:rPr>
              <w:t xml:space="preserve">7. Quien haya probado violencias basadas en género en el proceso de divorcio, en la declaración de la unión marital de hecho o cesación de efectos civiles de matrimonio católico, tendrá 30 días a partir de la ejecutoria de la sentencia, para solicitar la apertura del incidente de reparación integral de perjuicios por violencias basadas en género u otras violencias en el contexto familiar.  </w:t>
            </w:r>
          </w:p>
        </w:tc>
        <w:tc>
          <w:tcPr>
            <w:tcW w:w="2835" w:type="dxa"/>
          </w:tcPr>
          <w:p w14:paraId="601ABC3D" w14:textId="593A03F3" w:rsidR="00E720C9" w:rsidRPr="00676E2B" w:rsidRDefault="00E720C9" w:rsidP="00E720C9">
            <w:pPr>
              <w:jc w:val="both"/>
              <w:rPr>
                <w:rFonts w:eastAsia="Century Gothic"/>
                <w:sz w:val="20"/>
                <w:szCs w:val="20"/>
              </w:rPr>
            </w:pPr>
            <w:r w:rsidRPr="00676E2B">
              <w:rPr>
                <w:rFonts w:ascii="Gadugi" w:eastAsia="Century Gothic" w:hAnsi="Gadugi" w:cs="Century Gothic"/>
                <w:sz w:val="20"/>
                <w:szCs w:val="20"/>
              </w:rPr>
              <w:t>Se cambia la numeración para mejorar el orden temático de los artículos en el proyecto.</w:t>
            </w:r>
          </w:p>
        </w:tc>
      </w:tr>
      <w:tr w:rsidR="00E720C9" w:rsidRPr="00676E2B" w14:paraId="5247C998" w14:textId="77777777" w:rsidTr="00676E2B">
        <w:tc>
          <w:tcPr>
            <w:tcW w:w="3828" w:type="dxa"/>
          </w:tcPr>
          <w:p w14:paraId="29E8BB7D"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Artículo 9.</w:t>
            </w:r>
            <w:r w:rsidRPr="00676E2B">
              <w:rPr>
                <w:rFonts w:ascii="Gadugi" w:eastAsia="Century Gothic" w:hAnsi="Gadugi" w:cs="Century Gothic"/>
                <w:sz w:val="20"/>
                <w:szCs w:val="20"/>
              </w:rPr>
              <w:t xml:space="preserve"> </w:t>
            </w:r>
            <w:r w:rsidRPr="00676E2B">
              <w:rPr>
                <w:rFonts w:ascii="Gadugi" w:eastAsia="Century Gothic" w:hAnsi="Gadugi" w:cs="Century Gothic"/>
                <w:b/>
                <w:sz w:val="20"/>
                <w:szCs w:val="20"/>
              </w:rPr>
              <w:t xml:space="preserve">Reglas aplicables al incidente de reparación integral de perjuicios por violencias basadas en género y otras violencias en el contexto familiar. </w:t>
            </w:r>
            <w:r w:rsidRPr="00676E2B">
              <w:rPr>
                <w:rFonts w:ascii="Gadugi" w:eastAsia="Century Gothic" w:hAnsi="Gadugi" w:cs="Century Gothic"/>
                <w:sz w:val="20"/>
                <w:szCs w:val="20"/>
              </w:rPr>
              <w:t xml:space="preserve">Para el incidente de reparación integral de perjuicios violencias basadas en género dentro de los procesos de divorcio, los de declaración de unión marital de hecho y cesación de efectos civiles de matrimonio católico se aplicará las siguientes reglas: </w:t>
            </w:r>
          </w:p>
          <w:p w14:paraId="606D84D9" w14:textId="77777777" w:rsidR="00E720C9" w:rsidRPr="00676E2B" w:rsidRDefault="00E720C9" w:rsidP="00E720C9">
            <w:pPr>
              <w:numPr>
                <w:ilvl w:val="0"/>
                <w:numId w:val="38"/>
              </w:numPr>
              <w:spacing w:line="259" w:lineRule="auto"/>
              <w:jc w:val="both"/>
              <w:rPr>
                <w:rFonts w:ascii="Gadugi" w:eastAsia="Century Gothic" w:hAnsi="Gadugi" w:cs="Century Gothic"/>
                <w:sz w:val="20"/>
                <w:szCs w:val="20"/>
              </w:rPr>
            </w:pPr>
            <w:r w:rsidRPr="00676E2B">
              <w:rPr>
                <w:rFonts w:ascii="Gadugi" w:eastAsia="Century Gothic" w:hAnsi="Gadugi" w:cs="Century Gothic"/>
                <w:sz w:val="20"/>
                <w:szCs w:val="20"/>
              </w:rPr>
              <w:t>La solicitud de apertura del incidente deberá contener las pretensiones, los hechos en que se fundan, y las pruebas que se pretenden hacer valer.</w:t>
            </w:r>
          </w:p>
          <w:p w14:paraId="648E5BE3" w14:textId="77777777" w:rsidR="00E720C9" w:rsidRPr="00676E2B" w:rsidRDefault="00E720C9" w:rsidP="00E720C9">
            <w:pPr>
              <w:numPr>
                <w:ilvl w:val="0"/>
                <w:numId w:val="38"/>
              </w:numPr>
              <w:spacing w:line="259" w:lineRule="auto"/>
              <w:jc w:val="both"/>
              <w:rPr>
                <w:rFonts w:ascii="Gadugi" w:eastAsia="Century Gothic" w:hAnsi="Gadugi" w:cs="Century Gothic"/>
                <w:sz w:val="20"/>
                <w:szCs w:val="20"/>
              </w:rPr>
            </w:pPr>
            <w:r w:rsidRPr="00676E2B">
              <w:rPr>
                <w:rFonts w:ascii="Gadugi" w:eastAsia="Century Gothic" w:hAnsi="Gadugi" w:cs="Century Gothic"/>
                <w:sz w:val="20"/>
                <w:szCs w:val="20"/>
              </w:rPr>
              <w:t xml:space="preserve">De la solicitud de apertura del incidente, el Juez correrá traslado a la parte </w:t>
            </w:r>
            <w:proofErr w:type="spellStart"/>
            <w:r w:rsidRPr="00676E2B">
              <w:rPr>
                <w:rFonts w:ascii="Gadugi" w:eastAsia="Century Gothic" w:hAnsi="Gadugi" w:cs="Century Gothic"/>
                <w:sz w:val="20"/>
                <w:szCs w:val="20"/>
              </w:rPr>
              <w:t>incidentada</w:t>
            </w:r>
            <w:proofErr w:type="spellEnd"/>
            <w:r w:rsidRPr="00676E2B">
              <w:rPr>
                <w:rFonts w:ascii="Gadugi" w:eastAsia="Century Gothic" w:hAnsi="Gadugi" w:cs="Century Gothic"/>
                <w:sz w:val="20"/>
                <w:szCs w:val="20"/>
              </w:rPr>
              <w:t xml:space="preserve"> por el término de cinco (5) días. </w:t>
            </w:r>
          </w:p>
          <w:p w14:paraId="4467F240" w14:textId="77777777" w:rsidR="00E720C9" w:rsidRPr="00676E2B" w:rsidRDefault="00E720C9" w:rsidP="00E720C9">
            <w:pPr>
              <w:numPr>
                <w:ilvl w:val="0"/>
                <w:numId w:val="38"/>
              </w:numPr>
              <w:spacing w:line="259" w:lineRule="auto"/>
              <w:jc w:val="both"/>
              <w:rPr>
                <w:rFonts w:ascii="Gadugi" w:eastAsia="Century Gothic" w:hAnsi="Gadugi" w:cs="Century Gothic"/>
                <w:sz w:val="20"/>
                <w:szCs w:val="20"/>
              </w:rPr>
            </w:pPr>
            <w:r w:rsidRPr="00676E2B">
              <w:rPr>
                <w:rFonts w:ascii="Gadugi" w:eastAsia="Century Gothic" w:hAnsi="Gadugi" w:cs="Century Gothic"/>
                <w:sz w:val="20"/>
                <w:szCs w:val="20"/>
              </w:rPr>
              <w:t>Vencido el traslado, en los tres (3) días siguientes el Juez, mediante auto, fijará fecha para la audiencia de pruebas y sentencia. El Juez establecerá una fecha que no supere los treinta (30) días calendario contados a partir de la finalización del término de traslado.</w:t>
            </w:r>
          </w:p>
          <w:p w14:paraId="62C55278" w14:textId="77777777" w:rsidR="00E720C9" w:rsidRPr="00676E2B" w:rsidRDefault="00E720C9" w:rsidP="00E720C9">
            <w:pPr>
              <w:numPr>
                <w:ilvl w:val="0"/>
                <w:numId w:val="38"/>
              </w:numPr>
              <w:spacing w:line="259" w:lineRule="auto"/>
              <w:jc w:val="both"/>
              <w:rPr>
                <w:rFonts w:ascii="Gadugi" w:eastAsia="Century Gothic" w:hAnsi="Gadugi" w:cs="Century Gothic"/>
                <w:sz w:val="20"/>
                <w:szCs w:val="20"/>
              </w:rPr>
            </w:pPr>
            <w:r w:rsidRPr="00676E2B">
              <w:rPr>
                <w:rFonts w:ascii="Gadugi" w:eastAsia="Century Gothic" w:hAnsi="Gadugi" w:cs="Century Gothic"/>
                <w:sz w:val="20"/>
                <w:szCs w:val="20"/>
              </w:rPr>
              <w:t xml:space="preserve">En la audiencia referida, se practicarán todas las pruebas, se escucharán los alegatos de conclusión y se dictará sentencia. El Juez no podrá decretar aplazamiento de la audiencia. </w:t>
            </w:r>
          </w:p>
          <w:p w14:paraId="46F9C1E6" w14:textId="77777777" w:rsidR="00E720C9" w:rsidRPr="00676E2B" w:rsidRDefault="00E720C9" w:rsidP="00E720C9">
            <w:pPr>
              <w:numPr>
                <w:ilvl w:val="0"/>
                <w:numId w:val="38"/>
              </w:numPr>
              <w:spacing w:after="160" w:line="259" w:lineRule="auto"/>
              <w:jc w:val="both"/>
              <w:rPr>
                <w:rFonts w:ascii="Gadugi" w:eastAsia="Century Gothic" w:hAnsi="Gadugi" w:cs="Century Gothic"/>
                <w:sz w:val="20"/>
                <w:szCs w:val="20"/>
              </w:rPr>
            </w:pPr>
            <w:r w:rsidRPr="00676E2B">
              <w:rPr>
                <w:rFonts w:ascii="Gadugi" w:eastAsia="Century Gothic" w:hAnsi="Gadugi" w:cs="Century Gothic"/>
                <w:sz w:val="20"/>
                <w:szCs w:val="20"/>
              </w:rPr>
              <w:t xml:space="preserve">La sentencia que determina el monto de los perjuicios y las medidas que garantizarán la no repetición, es susceptible del recurso de apelación en el efecto suspensivo. </w:t>
            </w:r>
          </w:p>
          <w:p w14:paraId="76907B81"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Parágrafo 1.</w:t>
            </w:r>
            <w:r w:rsidRPr="00676E2B">
              <w:rPr>
                <w:rFonts w:ascii="Gadugi" w:eastAsia="Century Gothic" w:hAnsi="Gadugi" w:cs="Century Gothic"/>
                <w:sz w:val="20"/>
                <w:szCs w:val="20"/>
              </w:rPr>
              <w:t xml:space="preserve"> Contra las resoluciones dictadas dentro del procedimiento de incidente de reparación integral de perjuicios únicamente procederá el recurso de reposición.</w:t>
            </w:r>
          </w:p>
          <w:p w14:paraId="1FDEF3BC"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Parágrafo 2.</w:t>
            </w:r>
            <w:r w:rsidRPr="00676E2B">
              <w:rPr>
                <w:rFonts w:ascii="Gadugi" w:eastAsia="Century Gothic" w:hAnsi="Gadugi" w:cs="Century Gothic"/>
                <w:sz w:val="20"/>
                <w:szCs w:val="20"/>
              </w:rPr>
              <w:t xml:space="preserve"> En los aspectos no regulados se aplicarán de manera supletoria los artículos 127 al 131 y el 283 de la Ley 1564 de 2012. </w:t>
            </w:r>
          </w:p>
          <w:p w14:paraId="2CAFC65A" w14:textId="77777777" w:rsidR="00E720C9" w:rsidRPr="00676E2B" w:rsidRDefault="00E720C9" w:rsidP="00E720C9">
            <w:pPr>
              <w:rPr>
                <w:rFonts w:eastAsia="Century Gothic"/>
                <w:sz w:val="20"/>
                <w:szCs w:val="20"/>
              </w:rPr>
            </w:pPr>
          </w:p>
        </w:tc>
        <w:tc>
          <w:tcPr>
            <w:tcW w:w="3827" w:type="dxa"/>
          </w:tcPr>
          <w:p w14:paraId="6E5941AF" w14:textId="1A8783D4"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7139D25A" w14:textId="77777777" w:rsidR="00E720C9" w:rsidRPr="00676E2B" w:rsidRDefault="00E720C9" w:rsidP="00E720C9">
            <w:pPr>
              <w:rPr>
                <w:rFonts w:eastAsia="Century Gothic"/>
                <w:sz w:val="20"/>
                <w:szCs w:val="20"/>
              </w:rPr>
            </w:pPr>
          </w:p>
        </w:tc>
      </w:tr>
      <w:tr w:rsidR="00E720C9" w:rsidRPr="00676E2B" w14:paraId="7F9ED3F4" w14:textId="77777777" w:rsidTr="00676E2B">
        <w:tc>
          <w:tcPr>
            <w:tcW w:w="3828" w:type="dxa"/>
          </w:tcPr>
          <w:p w14:paraId="3AF9DB7C"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10.  </w:t>
            </w:r>
            <w:r w:rsidRPr="00676E2B">
              <w:rPr>
                <w:rFonts w:ascii="Gadugi" w:eastAsia="Century Gothic" w:hAnsi="Gadugi" w:cs="Century Gothic"/>
                <w:sz w:val="20"/>
                <w:szCs w:val="20"/>
              </w:rPr>
              <w:t xml:space="preserve">Adiciónese al artículo 598 de la Ley 1564 de 2012 lo siguiente: </w:t>
            </w:r>
          </w:p>
          <w:p w14:paraId="1E6606A8"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 xml:space="preserve">En los procesos de nulidad de matrimonio, divorcio, cesación de efectos civiles de matrimonio religioso, separación de cuerpos y de bienes, liquidación de sociedades conyugales, disolución y liquidación de sociedades patrimoniales entre compañeros permanentes e incidente de reparación integral de perjuicios por violencias basadas en género y por otras violencias en el contexto familiar, se aplicarán las siguientes reglas: </w:t>
            </w:r>
          </w:p>
          <w:p w14:paraId="4B1A1001"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1. Cualquiera de las partes podrá pedir embargo y secuestro de los bienes que puedan ser objeto de gananciales y que estuvieran en cabeza de la otra. Cuando se trate del incidente de reparación integral de perjuicios por violencias basadas en género y por otras violencias en el contexto familiar, también podrán pedir embargo y secuestro de los bienes muebles e inmuebles propios, con independencia de si son objeto o no de gananciales.</w:t>
            </w:r>
          </w:p>
          <w:p w14:paraId="41E4E050"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2. El embargo y secuestro practicados en estos procesos no impedirán perfeccionar los que se decreten sobre los mismos bienes en trámite de ejecución, antes de quedar en firme la sentencia favorable al demandante que en aquellos se dicte; con tal objeto, recibida la comunicación del nuevo embargo, simultáneamente con su inscripción, el registrador cancelará el anterior e informará de inmediato y por escrito al juez que adelanta el proceso de familia, quien, en caso de haberse practicado el secuestro, remitirá al juzgado donde se sigue el ejecutivo copia de la diligencia a fin de que tenga efecto en este, y oficiará al secuestre para darle cuenta de lo sucedido. El remanente no embargado en otras ejecuciones y los bienes que en estas se desembarguen, se considerarán embargados para los fines del asunto familiar.</w:t>
            </w:r>
          </w:p>
          <w:p w14:paraId="047E30C3"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Ejecutoriada la sentencia que se dicte en los procesos nulidad, divorcio, cesación de los efectos civiles del matrimonio religioso, separación de cuerpos y de bienes, cesará la prelación, por lo que el juez lo comunicará de inmediato al registrador, para que se abstenga de inscribir nuevos embargos, salvo el hipotecario.</w:t>
            </w:r>
          </w:p>
          <w:p w14:paraId="78215831"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3. Las anteriores medidas se mantendrán hasta la ejecutoria de la sentencia; pero si a consecuencia de esta fuere necesario liquidar la sociedad conyugal o patrimonial, continuarán vigentes en el proceso de liquidación.</w:t>
            </w:r>
          </w:p>
          <w:p w14:paraId="32414836"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Si dentro de los dos (2) meses siguientes a la ejecutoria de la sentencia que disuelva la sociedad conyugal o patrimonial, no se hubiere promovido la liquidación de esta, se levantarán aun de oficio las medidas cautelares.</w:t>
            </w:r>
          </w:p>
          <w:p w14:paraId="0D7C1590"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4. Cualquiera de los cónyuges o compañeros permanentes podrá promover incidente con el propósito de que se levanten las medidas que afecten sus bienes propios.</w:t>
            </w:r>
          </w:p>
          <w:p w14:paraId="6C53F5E6"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5. Si el juez lo considera conveniente, también podrá adoptar, según el caso, las siguientes medidas:</w:t>
            </w:r>
          </w:p>
          <w:p w14:paraId="6C0D686C"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a) Autorizar la residencia separada de los cónyuges, y si estos fueren menores, disponer el depósito en casa de sus padres o de sus parientes más próximos o en la de un tercero.</w:t>
            </w:r>
          </w:p>
          <w:p w14:paraId="596BD86A"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b) Dejar a los hijos al cuidado de uno de los cónyuges o de ambos, o de un tercero.</w:t>
            </w:r>
          </w:p>
          <w:p w14:paraId="195A4AFA"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c) Señalar la cantidad con que cada cónyuge deba contribuir, según su capacidad económica, para gastos de habitación y sostenimiento del otro cónyuge y de los hijos comunes, y la educación de estos.</w:t>
            </w:r>
          </w:p>
          <w:p w14:paraId="37FB24F3"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d) Decretar, en caso de que la mujer esté embarazada, las medidas previstas por la ley para evitar suposición de parto.</w:t>
            </w:r>
          </w:p>
          <w:p w14:paraId="38C546BC"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e) Decretar, a petición de parte, el embargo y secuestro de los bienes sociales y los propios, con el fin de garantizar el pago de alimentos a que el cónyuge y los hijos tuvieren derecho, si fuere el caso.</w:t>
            </w:r>
          </w:p>
          <w:p w14:paraId="03376694" w14:textId="77777777" w:rsidR="00E720C9" w:rsidRPr="00676E2B" w:rsidRDefault="00E720C9" w:rsidP="00E720C9">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f) A criterio del juez cualquier otra medida necesaria para evitar que se produzcan nuevos actos de violencia intrafamiliar o para hacer cesar sus efectos y, en general, en los asuntos de familia, podrá actuar de oficio en la adopción de las medidas personales de protección que requiera la pareja, el niño, niña o adolescente, el discapacitado mental y la persona de la tercera edad; para tal fin, podrá decretar y practicar las pruebas que estime pertinentes, incluyendo las declaraciones del niño, niña o adolescente.</w:t>
            </w:r>
          </w:p>
          <w:p w14:paraId="270DB2A6" w14:textId="3E563EF6" w:rsidR="00E720C9" w:rsidRPr="00676E2B" w:rsidRDefault="00E720C9" w:rsidP="00677A8D">
            <w:pPr>
              <w:spacing w:before="180" w:after="180" w:line="276" w:lineRule="auto"/>
              <w:jc w:val="both"/>
              <w:rPr>
                <w:rFonts w:ascii="Gadugi" w:eastAsia="Century Gothic" w:hAnsi="Gadugi" w:cs="Century Gothic"/>
                <w:sz w:val="20"/>
                <w:szCs w:val="20"/>
              </w:rPr>
            </w:pPr>
            <w:r w:rsidRPr="00676E2B">
              <w:rPr>
                <w:rFonts w:ascii="Gadugi" w:eastAsia="Century Gothic" w:hAnsi="Gadugi" w:cs="Century Gothic"/>
                <w:sz w:val="20"/>
                <w:szCs w:val="20"/>
              </w:rPr>
              <w:t>6. En el proceso de alimentos se decretará la medida cautelar prevista en el literal c) del numeral 5 y se dará aviso a las autoridades de emigración para que el demandado no pueda ausentarse del país sin prestar garantía suficiente que respalde el cumplimiento de la obligación hasta por dos (2) años.</w:t>
            </w:r>
          </w:p>
        </w:tc>
        <w:tc>
          <w:tcPr>
            <w:tcW w:w="3827" w:type="dxa"/>
          </w:tcPr>
          <w:p w14:paraId="538B4965" w14:textId="5BD90A18"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218B7F49" w14:textId="77777777" w:rsidR="00E720C9" w:rsidRPr="00676E2B" w:rsidRDefault="00E720C9" w:rsidP="00E720C9">
            <w:pPr>
              <w:rPr>
                <w:rFonts w:eastAsia="Century Gothic"/>
                <w:sz w:val="20"/>
                <w:szCs w:val="20"/>
              </w:rPr>
            </w:pPr>
          </w:p>
        </w:tc>
      </w:tr>
      <w:tr w:rsidR="00E720C9" w:rsidRPr="00676E2B" w14:paraId="635D529B" w14:textId="77777777" w:rsidTr="00676E2B">
        <w:tc>
          <w:tcPr>
            <w:tcW w:w="3828" w:type="dxa"/>
          </w:tcPr>
          <w:p w14:paraId="0B363FF0" w14:textId="42F14E51" w:rsidR="00E720C9" w:rsidRPr="00676E2B" w:rsidRDefault="00E720C9" w:rsidP="00677A8D">
            <w:pPr>
              <w:jc w:val="both"/>
              <w:rPr>
                <w:rFonts w:ascii="Gadugi" w:hAnsi="Gadugi"/>
                <w:sz w:val="20"/>
                <w:szCs w:val="20"/>
                <w:lang w:eastAsia="es-CO"/>
              </w:rPr>
            </w:pPr>
            <w:r w:rsidRPr="00676E2B">
              <w:rPr>
                <w:rFonts w:ascii="Gadugi" w:eastAsia="Century Gothic" w:hAnsi="Gadugi" w:cs="Century Gothic"/>
                <w:b/>
                <w:sz w:val="20"/>
                <w:szCs w:val="20"/>
              </w:rPr>
              <w:t>Artículo 11.</w:t>
            </w:r>
            <w:r w:rsidRPr="00676E2B">
              <w:rPr>
                <w:rFonts w:ascii="Gadugi" w:hAnsi="Gadugi"/>
                <w:sz w:val="20"/>
                <w:szCs w:val="20"/>
                <w:lang w:eastAsia="es-CO"/>
              </w:rPr>
              <w:t xml:space="preserve"> </w:t>
            </w:r>
            <w:r w:rsidRPr="00676E2B">
              <w:rPr>
                <w:rFonts w:ascii="Gadugi" w:hAnsi="Gadugi"/>
                <w:b/>
                <w:sz w:val="20"/>
                <w:szCs w:val="20"/>
                <w:lang w:eastAsia="es-CO"/>
              </w:rPr>
              <w:t>Principio de reparación integral de perjuicios por violencias basadas en género y otras violencias en el contexto familiar en procesos de divorcio por mutuo acuerdo ante notario.</w:t>
            </w:r>
            <w:r w:rsidRPr="00676E2B">
              <w:rPr>
                <w:rFonts w:ascii="Gadugi" w:hAnsi="Gadugi"/>
                <w:sz w:val="20"/>
                <w:szCs w:val="20"/>
                <w:lang w:eastAsia="es-CO"/>
              </w:rPr>
              <w:t xml:space="preserve"> En procesos de divorcio por mutuo acuerdo ante notario, las partes podrán fijar la reparación integral de perjuicios por violencias basadas en género y otras violencias en el contexto familiar.</w:t>
            </w:r>
          </w:p>
        </w:tc>
        <w:tc>
          <w:tcPr>
            <w:tcW w:w="3827" w:type="dxa"/>
          </w:tcPr>
          <w:p w14:paraId="3B3F9D40" w14:textId="30652FC2"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12806988" w14:textId="77777777" w:rsidR="00E720C9" w:rsidRPr="00676E2B" w:rsidRDefault="00E720C9" w:rsidP="00E720C9">
            <w:pPr>
              <w:rPr>
                <w:rFonts w:eastAsia="Century Gothic"/>
                <w:sz w:val="20"/>
                <w:szCs w:val="20"/>
              </w:rPr>
            </w:pPr>
          </w:p>
        </w:tc>
      </w:tr>
      <w:tr w:rsidR="00E720C9" w:rsidRPr="00676E2B" w14:paraId="2A501E20" w14:textId="77777777" w:rsidTr="00676E2B">
        <w:tc>
          <w:tcPr>
            <w:tcW w:w="3828" w:type="dxa"/>
          </w:tcPr>
          <w:p w14:paraId="39F16583" w14:textId="77777777" w:rsidR="00E720C9" w:rsidRPr="00676E2B" w:rsidRDefault="00E720C9" w:rsidP="00E720C9">
            <w:pPr>
              <w:jc w:val="both"/>
              <w:rPr>
                <w:rFonts w:ascii="Gadugi" w:eastAsia="Century Gothic" w:hAnsi="Gadugi" w:cs="Century Gothic"/>
                <w:sz w:val="20"/>
                <w:szCs w:val="20"/>
              </w:rPr>
            </w:pPr>
            <w:r w:rsidRPr="00676E2B">
              <w:rPr>
                <w:rFonts w:ascii="Gadugi" w:eastAsia="Century Gothic" w:hAnsi="Gadugi" w:cs="Century Gothic"/>
                <w:b/>
                <w:sz w:val="20"/>
                <w:szCs w:val="20"/>
              </w:rPr>
              <w:t xml:space="preserve">Artículo 12. Vigencia. </w:t>
            </w:r>
            <w:r w:rsidRPr="00676E2B">
              <w:rPr>
                <w:rFonts w:ascii="Gadugi" w:eastAsia="Century Gothic" w:hAnsi="Gadugi" w:cs="Century Gothic"/>
                <w:sz w:val="20"/>
                <w:szCs w:val="20"/>
              </w:rPr>
              <w:t>La presente ley entrará en vigencia seis (6) meses después de su promulgación y deroga todas las normas que le sean contrarias.</w:t>
            </w:r>
          </w:p>
          <w:p w14:paraId="0E36FA19" w14:textId="77777777" w:rsidR="00E720C9" w:rsidRPr="00676E2B" w:rsidRDefault="00E720C9" w:rsidP="00E720C9">
            <w:pPr>
              <w:rPr>
                <w:rFonts w:eastAsia="Century Gothic"/>
                <w:sz w:val="20"/>
                <w:szCs w:val="20"/>
              </w:rPr>
            </w:pPr>
          </w:p>
        </w:tc>
        <w:tc>
          <w:tcPr>
            <w:tcW w:w="3827" w:type="dxa"/>
          </w:tcPr>
          <w:p w14:paraId="6E25593C" w14:textId="573EC04D" w:rsidR="00E720C9" w:rsidRPr="00676E2B" w:rsidRDefault="00E720C9" w:rsidP="00E720C9">
            <w:pPr>
              <w:jc w:val="center"/>
              <w:rPr>
                <w:rFonts w:eastAsia="Century Gothic"/>
                <w:sz w:val="20"/>
                <w:szCs w:val="20"/>
              </w:rPr>
            </w:pPr>
            <w:r w:rsidRPr="00676E2B">
              <w:rPr>
                <w:rFonts w:ascii="Gadugi" w:eastAsia="Century Gothic" w:hAnsi="Gadugi"/>
                <w:sz w:val="20"/>
                <w:szCs w:val="20"/>
              </w:rPr>
              <w:t>Sin modificaciones</w:t>
            </w:r>
          </w:p>
        </w:tc>
        <w:tc>
          <w:tcPr>
            <w:tcW w:w="2835" w:type="dxa"/>
          </w:tcPr>
          <w:p w14:paraId="29DD4FEE" w14:textId="77777777" w:rsidR="00E720C9" w:rsidRPr="00676E2B" w:rsidRDefault="00E720C9" w:rsidP="00E720C9">
            <w:pPr>
              <w:rPr>
                <w:rFonts w:eastAsia="Century Gothic"/>
                <w:sz w:val="20"/>
                <w:szCs w:val="20"/>
              </w:rPr>
            </w:pPr>
          </w:p>
        </w:tc>
      </w:tr>
    </w:tbl>
    <w:p w14:paraId="7DF36FD3" w14:textId="77777777" w:rsidR="00E720C9" w:rsidRPr="00340AE5" w:rsidRDefault="00E720C9" w:rsidP="00E720C9">
      <w:pPr>
        <w:rPr>
          <w:rFonts w:eastAsia="Century Gothic"/>
          <w:sz w:val="22"/>
          <w:szCs w:val="22"/>
        </w:rPr>
      </w:pPr>
    </w:p>
    <w:p w14:paraId="3909E1FF" w14:textId="77777777" w:rsidR="00E720C9" w:rsidRPr="00340AE5" w:rsidRDefault="00E720C9" w:rsidP="00E720C9">
      <w:pPr>
        <w:rPr>
          <w:rFonts w:eastAsia="Century Gothic"/>
          <w:sz w:val="22"/>
          <w:szCs w:val="22"/>
        </w:rPr>
      </w:pPr>
    </w:p>
    <w:p w14:paraId="66E64460" w14:textId="65E4C21B" w:rsidR="00552271" w:rsidRPr="00340AE5" w:rsidRDefault="003F2C4A" w:rsidP="00DE0D0E">
      <w:pPr>
        <w:pStyle w:val="Ttulo2"/>
        <w:keepNext w:val="0"/>
        <w:keepLines w:val="0"/>
        <w:widowControl w:val="0"/>
        <w:numPr>
          <w:ilvl w:val="3"/>
          <w:numId w:val="12"/>
        </w:numPr>
        <w:spacing w:before="0" w:line="276" w:lineRule="auto"/>
        <w:ind w:left="426"/>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PROPOSICIÓN.</w:t>
      </w:r>
    </w:p>
    <w:p w14:paraId="2ADA16DB" w14:textId="77777777" w:rsidR="00552271" w:rsidRPr="00340AE5" w:rsidRDefault="00552271">
      <w:pPr>
        <w:spacing w:line="276" w:lineRule="auto"/>
        <w:jc w:val="both"/>
        <w:rPr>
          <w:rFonts w:ascii="Gadugi" w:eastAsia="Century Gothic" w:hAnsi="Gadugi" w:cs="Century Gothic"/>
          <w:sz w:val="22"/>
          <w:szCs w:val="22"/>
        </w:rPr>
      </w:pPr>
    </w:p>
    <w:p w14:paraId="0BAB8C54" w14:textId="536D8C3D" w:rsidR="00552271" w:rsidRPr="00340AE5" w:rsidRDefault="003F2C4A">
      <w:pPr>
        <w:spacing w:line="276" w:lineRule="auto"/>
        <w:jc w:val="both"/>
        <w:rPr>
          <w:rFonts w:ascii="Gadugi" w:eastAsia="Century Gothic" w:hAnsi="Gadugi" w:cs="Century Gothic"/>
          <w:i/>
          <w:sz w:val="22"/>
          <w:szCs w:val="22"/>
        </w:rPr>
      </w:pPr>
      <w:r w:rsidRPr="00340AE5">
        <w:rPr>
          <w:rFonts w:ascii="Gadugi" w:eastAsia="Century Gothic" w:hAnsi="Gadugi" w:cs="Century Gothic"/>
          <w:sz w:val="22"/>
          <w:szCs w:val="22"/>
        </w:rPr>
        <w:t xml:space="preserve">Con fundamento en las anteriores consideraciones, presento </w:t>
      </w:r>
      <w:r w:rsidR="00A72A7B" w:rsidRPr="00340AE5">
        <w:rPr>
          <w:rFonts w:ascii="Gadugi" w:eastAsia="Century Gothic" w:hAnsi="Gadugi" w:cs="Century Gothic"/>
          <w:sz w:val="22"/>
          <w:szCs w:val="22"/>
        </w:rPr>
        <w:t>ponencia</w:t>
      </w:r>
      <w:r w:rsidR="00A72A7B" w:rsidRPr="00340AE5">
        <w:rPr>
          <w:rFonts w:ascii="Gadugi" w:eastAsia="Century Gothic" w:hAnsi="Gadugi" w:cs="Century Gothic"/>
          <w:b/>
          <w:sz w:val="22"/>
          <w:szCs w:val="22"/>
        </w:rPr>
        <w:t xml:space="preserve"> </w:t>
      </w:r>
      <w:r w:rsidRPr="00340AE5">
        <w:rPr>
          <w:rFonts w:ascii="Gadugi" w:eastAsia="Century Gothic" w:hAnsi="Gadugi" w:cs="Century Gothic"/>
          <w:sz w:val="22"/>
          <w:szCs w:val="22"/>
        </w:rPr>
        <w:t xml:space="preserve">y solicito a los Honorables Representantes que integran la </w:t>
      </w:r>
      <w:r w:rsidR="00F5468B" w:rsidRPr="00340AE5">
        <w:rPr>
          <w:rFonts w:ascii="Gadugi" w:eastAsia="Century Gothic" w:hAnsi="Gadugi" w:cs="Century Gothic"/>
          <w:sz w:val="22"/>
          <w:szCs w:val="22"/>
        </w:rPr>
        <w:t>Plenaria de</w:t>
      </w:r>
      <w:r w:rsidRPr="00340AE5">
        <w:rPr>
          <w:rFonts w:ascii="Gadugi" w:eastAsia="Century Gothic" w:hAnsi="Gadugi" w:cs="Century Gothic"/>
          <w:sz w:val="22"/>
          <w:szCs w:val="22"/>
        </w:rPr>
        <w:t xml:space="preserve"> la Cámara de Representantes dar </w:t>
      </w:r>
      <w:r w:rsidR="00F5468B" w:rsidRPr="00340AE5">
        <w:rPr>
          <w:rFonts w:ascii="Gadugi" w:eastAsia="Century Gothic" w:hAnsi="Gadugi" w:cs="Century Gothic"/>
          <w:sz w:val="22"/>
          <w:szCs w:val="22"/>
        </w:rPr>
        <w:t>Segundo</w:t>
      </w:r>
      <w:r w:rsidRPr="00340AE5">
        <w:rPr>
          <w:rFonts w:ascii="Gadugi" w:eastAsia="Century Gothic" w:hAnsi="Gadugi" w:cs="Century Gothic"/>
          <w:sz w:val="22"/>
          <w:szCs w:val="22"/>
        </w:rPr>
        <w:t xml:space="preserve"> Debate</w:t>
      </w:r>
      <w:r w:rsidR="00C14DAE" w:rsidRPr="00340AE5">
        <w:rPr>
          <w:rFonts w:ascii="Gadugi" w:eastAsia="Century Gothic" w:hAnsi="Gadugi" w:cs="Century Gothic"/>
          <w:sz w:val="22"/>
          <w:szCs w:val="22"/>
        </w:rPr>
        <w:t xml:space="preserve"> y aprobar </w:t>
      </w:r>
      <w:r w:rsidR="00E720C9" w:rsidRPr="00340AE5">
        <w:rPr>
          <w:rFonts w:ascii="Gadugi" w:eastAsia="Century Gothic" w:hAnsi="Gadugi" w:cs="Century Gothic"/>
          <w:sz w:val="22"/>
          <w:szCs w:val="22"/>
        </w:rPr>
        <w:t xml:space="preserve"> en la Plenaria de la Cámara de Representantes</w:t>
      </w:r>
      <w:r w:rsidRPr="00340AE5">
        <w:rPr>
          <w:rFonts w:ascii="Gadugi" w:eastAsia="Century Gothic" w:hAnsi="Gadugi" w:cs="Century Gothic"/>
          <w:sz w:val="22"/>
          <w:szCs w:val="22"/>
        </w:rPr>
        <w:t xml:space="preserve"> al Proyecto de Ley número 408 de 2024 Cámara </w:t>
      </w:r>
      <w:r w:rsidR="00A97D62" w:rsidRPr="00340AE5">
        <w:rPr>
          <w:rFonts w:ascii="Gadugi" w:eastAsia="Century Gothic" w:hAnsi="Gadugi" w:cs="Century Gothic"/>
          <w:b/>
          <w:sz w:val="22"/>
          <w:szCs w:val="22"/>
          <w:lang w:val="es-CO"/>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r w:rsidRPr="00340AE5">
        <w:rPr>
          <w:rFonts w:ascii="Gadugi" w:eastAsia="Century Gothic" w:hAnsi="Gadugi" w:cs="Century Gothic"/>
          <w:i/>
          <w:sz w:val="22"/>
          <w:szCs w:val="22"/>
        </w:rPr>
        <w:t>conforme al texto propuesto.</w:t>
      </w:r>
    </w:p>
    <w:p w14:paraId="4F3331E8" w14:textId="77777777" w:rsidR="00552271" w:rsidRPr="00340AE5" w:rsidRDefault="00552271">
      <w:pPr>
        <w:spacing w:line="276" w:lineRule="auto"/>
        <w:jc w:val="both"/>
        <w:rPr>
          <w:rFonts w:ascii="Gadugi" w:eastAsia="Century Gothic" w:hAnsi="Gadugi" w:cs="Century Gothic"/>
          <w:color w:val="000000"/>
          <w:sz w:val="22"/>
          <w:szCs w:val="22"/>
        </w:rPr>
      </w:pPr>
    </w:p>
    <w:p w14:paraId="7A0E5E61" w14:textId="77777777" w:rsidR="00552271" w:rsidRPr="00340AE5" w:rsidRDefault="003F2C4A">
      <w:pPr>
        <w:spacing w:line="276" w:lineRule="auto"/>
        <w:jc w:val="both"/>
        <w:rPr>
          <w:rFonts w:ascii="Gadugi" w:eastAsia="Century Gothic" w:hAnsi="Gadugi" w:cs="Century Gothic"/>
          <w:color w:val="000000"/>
          <w:sz w:val="22"/>
          <w:szCs w:val="22"/>
        </w:rPr>
      </w:pPr>
      <w:r w:rsidRPr="00340AE5">
        <w:rPr>
          <w:rFonts w:ascii="Gadugi" w:eastAsia="Century Gothic" w:hAnsi="Gadugi" w:cs="Century Gothic"/>
          <w:color w:val="000000"/>
          <w:sz w:val="22"/>
          <w:szCs w:val="22"/>
        </w:rPr>
        <w:t>Cordialmente,</w:t>
      </w:r>
    </w:p>
    <w:p w14:paraId="1447ABEC" w14:textId="77777777" w:rsidR="00DE0D0E" w:rsidRPr="00340AE5" w:rsidRDefault="00DE0D0E">
      <w:pPr>
        <w:spacing w:line="276" w:lineRule="auto"/>
        <w:jc w:val="both"/>
        <w:rPr>
          <w:rFonts w:ascii="Gadugi" w:eastAsia="Century Gothic" w:hAnsi="Gadugi" w:cs="Century Gothic"/>
          <w:color w:val="000000"/>
          <w:sz w:val="22"/>
          <w:szCs w:val="22"/>
        </w:rPr>
      </w:pPr>
    </w:p>
    <w:p w14:paraId="1C9B39CE" w14:textId="77777777" w:rsidR="00DE0D0E" w:rsidRPr="00340AE5" w:rsidRDefault="00DE0D0E">
      <w:pPr>
        <w:spacing w:line="276" w:lineRule="auto"/>
        <w:jc w:val="both"/>
        <w:rPr>
          <w:rFonts w:ascii="Gadugi" w:eastAsia="Century Gothic" w:hAnsi="Gadugi" w:cs="Century Gothic"/>
          <w:color w:val="000000"/>
          <w:sz w:val="22"/>
          <w:szCs w:val="22"/>
        </w:rPr>
      </w:pPr>
    </w:p>
    <w:p w14:paraId="0A0548BD" w14:textId="77777777" w:rsidR="00DE0D0E" w:rsidRDefault="00DE0D0E">
      <w:pPr>
        <w:spacing w:line="276" w:lineRule="auto"/>
        <w:jc w:val="both"/>
        <w:rPr>
          <w:rFonts w:ascii="Gadugi" w:eastAsia="Century Gothic" w:hAnsi="Gadugi" w:cs="Century Gothic"/>
          <w:color w:val="000000"/>
          <w:sz w:val="22"/>
          <w:szCs w:val="22"/>
        </w:rPr>
      </w:pPr>
    </w:p>
    <w:p w14:paraId="07C43748" w14:textId="77777777" w:rsidR="00DE0D0E" w:rsidRDefault="00DE0D0E">
      <w:pPr>
        <w:spacing w:line="276" w:lineRule="auto"/>
        <w:jc w:val="both"/>
        <w:rPr>
          <w:rFonts w:ascii="Gadugi" w:eastAsia="Century Gothic" w:hAnsi="Gadugi" w:cs="Century Gothic"/>
          <w:color w:val="000000"/>
          <w:sz w:val="22"/>
          <w:szCs w:val="22"/>
        </w:rPr>
      </w:pPr>
    </w:p>
    <w:p w14:paraId="0D89769D" w14:textId="77777777" w:rsidR="00552271" w:rsidRPr="00D2146A" w:rsidRDefault="00DE0D0E" w:rsidP="00DE0D0E">
      <w:pPr>
        <w:tabs>
          <w:tab w:val="right" w:pos="8838"/>
        </w:tabs>
        <w:spacing w:line="276" w:lineRule="auto"/>
        <w:rPr>
          <w:rFonts w:ascii="Gadugi" w:eastAsia="Century Gothic" w:hAnsi="Gadugi" w:cs="Century Gothic"/>
          <w:b/>
          <w:sz w:val="22"/>
          <w:szCs w:val="22"/>
        </w:rPr>
      </w:pPr>
      <w:r>
        <w:rPr>
          <w:rFonts w:ascii="Gadugi" w:eastAsia="Century Gothic" w:hAnsi="Gadugi" w:cs="Century Gothic"/>
          <w:color w:val="000000"/>
          <w:sz w:val="22"/>
          <w:szCs w:val="22"/>
        </w:rPr>
        <w:t>__________________________________________________</w:t>
      </w:r>
    </w:p>
    <w:p w14:paraId="6D981403" w14:textId="77777777" w:rsidR="00552271" w:rsidRPr="00D2146A" w:rsidRDefault="003F2C4A" w:rsidP="00A72A7B">
      <w:pPr>
        <w:tabs>
          <w:tab w:val="right" w:pos="8838"/>
        </w:tabs>
        <w:spacing w:line="276" w:lineRule="auto"/>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DELCY ESPERANZA ISAZA BUENAVENTURA</w:t>
      </w:r>
    </w:p>
    <w:p w14:paraId="7E44B305" w14:textId="77777777" w:rsidR="00552271" w:rsidRPr="00D2146A" w:rsidRDefault="003F2C4A" w:rsidP="00A72A7B">
      <w:pPr>
        <w:tabs>
          <w:tab w:val="right" w:pos="8838"/>
        </w:tabs>
        <w:spacing w:line="276" w:lineRule="auto"/>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Representante a la Cámara por el Tolima.</w:t>
      </w:r>
    </w:p>
    <w:p w14:paraId="2C94B171" w14:textId="77777777" w:rsidR="00552271" w:rsidRDefault="00A72A7B" w:rsidP="00D2146A">
      <w:pPr>
        <w:tabs>
          <w:tab w:val="right" w:pos="8838"/>
        </w:tabs>
        <w:spacing w:line="276" w:lineRule="auto"/>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Partido Conservador </w:t>
      </w:r>
      <w:r w:rsidR="00D2146A" w:rsidRPr="00D2146A">
        <w:rPr>
          <w:rFonts w:ascii="Gadugi" w:eastAsia="Century Gothic" w:hAnsi="Gadugi" w:cs="Century Gothic"/>
          <w:color w:val="000000"/>
          <w:sz w:val="22"/>
          <w:szCs w:val="22"/>
        </w:rPr>
        <w:br/>
      </w:r>
      <w:r w:rsidRPr="00D2146A">
        <w:rPr>
          <w:rFonts w:ascii="Gadugi" w:eastAsia="Century Gothic" w:hAnsi="Gadugi" w:cs="Century Gothic"/>
          <w:color w:val="000000"/>
          <w:sz w:val="22"/>
          <w:szCs w:val="22"/>
        </w:rPr>
        <w:t>P</w:t>
      </w:r>
      <w:r w:rsidR="003F2C4A" w:rsidRPr="00D2146A">
        <w:rPr>
          <w:rFonts w:ascii="Gadugi" w:eastAsia="Century Gothic" w:hAnsi="Gadugi" w:cs="Century Gothic"/>
          <w:color w:val="000000"/>
          <w:sz w:val="22"/>
          <w:szCs w:val="22"/>
        </w:rPr>
        <w:t>onente.</w:t>
      </w:r>
    </w:p>
    <w:p w14:paraId="35966C7D" w14:textId="77777777" w:rsidR="00C14DAE" w:rsidRDefault="00C14DAE" w:rsidP="00D2146A">
      <w:pPr>
        <w:tabs>
          <w:tab w:val="right" w:pos="8838"/>
        </w:tabs>
        <w:spacing w:line="276" w:lineRule="auto"/>
        <w:rPr>
          <w:rFonts w:ascii="Gadugi" w:eastAsia="Century Gothic" w:hAnsi="Gadugi" w:cs="Century Gothic"/>
          <w:color w:val="000000"/>
          <w:sz w:val="22"/>
          <w:szCs w:val="22"/>
        </w:rPr>
      </w:pPr>
    </w:p>
    <w:p w14:paraId="5A171AD6" w14:textId="77777777" w:rsidR="00C14DAE" w:rsidRDefault="00C14DAE" w:rsidP="00D2146A">
      <w:pPr>
        <w:tabs>
          <w:tab w:val="right" w:pos="8838"/>
        </w:tabs>
        <w:spacing w:line="276" w:lineRule="auto"/>
        <w:rPr>
          <w:rFonts w:ascii="Gadugi" w:eastAsia="Century Gothic" w:hAnsi="Gadugi" w:cs="Century Gothic"/>
          <w:color w:val="000000"/>
          <w:sz w:val="22"/>
          <w:szCs w:val="22"/>
        </w:rPr>
      </w:pPr>
    </w:p>
    <w:p w14:paraId="56136A25" w14:textId="77777777" w:rsidR="00C14DAE" w:rsidRPr="00D2146A" w:rsidRDefault="00C14DAE" w:rsidP="00D2146A">
      <w:pPr>
        <w:tabs>
          <w:tab w:val="right" w:pos="8838"/>
        </w:tabs>
        <w:spacing w:line="276" w:lineRule="auto"/>
        <w:rPr>
          <w:rFonts w:ascii="Gadugi" w:eastAsia="Century Gothic" w:hAnsi="Gadugi" w:cs="Century Gothic"/>
          <w:color w:val="000000"/>
          <w:sz w:val="22"/>
          <w:szCs w:val="22"/>
        </w:rPr>
      </w:pPr>
    </w:p>
    <w:p w14:paraId="5F6801CF"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42A3A2B" w14:textId="75A43DC8" w:rsidR="00552271" w:rsidRPr="00340AE5" w:rsidRDefault="003F2C4A" w:rsidP="008A3063">
      <w:pPr>
        <w:pStyle w:val="Prrafodelista"/>
        <w:numPr>
          <w:ilvl w:val="3"/>
          <w:numId w:val="12"/>
        </w:numPr>
        <w:pBdr>
          <w:top w:val="nil"/>
          <w:left w:val="nil"/>
          <w:bottom w:val="nil"/>
          <w:right w:val="nil"/>
          <w:between w:val="nil"/>
        </w:pBdr>
        <w:ind w:left="284" w:right="40"/>
        <w:jc w:val="center"/>
        <w:rPr>
          <w:rFonts w:ascii="Gadugi" w:eastAsia="Century Gothic" w:hAnsi="Gadugi" w:cs="Century Gothic"/>
          <w:color w:val="000000"/>
        </w:rPr>
      </w:pPr>
      <w:r w:rsidRPr="00340AE5">
        <w:rPr>
          <w:rFonts w:ascii="Gadugi" w:eastAsia="Century Gothic" w:hAnsi="Gadugi" w:cs="Century Gothic"/>
          <w:b/>
          <w:color w:val="000000"/>
        </w:rPr>
        <w:t xml:space="preserve">TEXTO PROPUESTO PARA </w:t>
      </w:r>
      <w:r w:rsidR="00F5468B" w:rsidRPr="00340AE5">
        <w:rPr>
          <w:rFonts w:ascii="Gadugi" w:eastAsia="Century Gothic" w:hAnsi="Gadugi" w:cs="Century Gothic"/>
          <w:b/>
          <w:color w:val="000000"/>
        </w:rPr>
        <w:t>SEGUNDO</w:t>
      </w:r>
      <w:r w:rsidRPr="00340AE5">
        <w:rPr>
          <w:rFonts w:ascii="Gadugi" w:eastAsia="Century Gothic" w:hAnsi="Gadugi" w:cs="Century Gothic"/>
          <w:b/>
          <w:color w:val="000000"/>
        </w:rPr>
        <w:t xml:space="preserve"> DEBATE </w:t>
      </w:r>
      <w:r w:rsidR="00E720C9" w:rsidRPr="00340AE5">
        <w:rPr>
          <w:rFonts w:ascii="Gadugi" w:eastAsia="Century Gothic" w:hAnsi="Gadugi" w:cs="Century Gothic"/>
          <w:b/>
          <w:color w:val="000000"/>
        </w:rPr>
        <w:t xml:space="preserve">EN LA PLENARIA DE LA CÁMARA DE REPRESENTANTES </w:t>
      </w:r>
      <w:r w:rsidR="00677A8D" w:rsidRPr="00340AE5">
        <w:rPr>
          <w:rFonts w:ascii="Gadugi" w:eastAsia="Century Gothic" w:hAnsi="Gadugi" w:cs="Century Gothic"/>
          <w:b/>
          <w:color w:val="000000"/>
        </w:rPr>
        <w:t>DEL</w:t>
      </w:r>
      <w:r w:rsidRPr="00340AE5">
        <w:rPr>
          <w:rFonts w:ascii="Gadugi" w:eastAsia="Century Gothic" w:hAnsi="Gadugi" w:cs="Century Gothic"/>
          <w:b/>
          <w:color w:val="000000"/>
        </w:rPr>
        <w:t xml:space="preserve"> PROYECTO DE LEY NÚMERO 408 DE 2024 CÁMARA.</w:t>
      </w:r>
      <w:r w:rsidR="00A72A7B" w:rsidRPr="00340AE5">
        <w:rPr>
          <w:rFonts w:ascii="Gadugi" w:eastAsia="Century Gothic" w:hAnsi="Gadugi" w:cs="Century Gothic"/>
          <w:b/>
          <w:color w:val="000000"/>
        </w:rPr>
        <w:t xml:space="preserve"> </w:t>
      </w:r>
      <w:r w:rsidRPr="00340AE5">
        <w:rPr>
          <w:rFonts w:ascii="Gadugi" w:eastAsia="Century Gothic" w:hAnsi="Gadugi" w:cs="Century Gothic"/>
          <w:i/>
          <w:color w:val="000000"/>
        </w:rPr>
        <w:t xml:space="preserve"> </w:t>
      </w:r>
      <w:r w:rsidRPr="00340AE5">
        <w:rPr>
          <w:rFonts w:ascii="Gadugi" w:eastAsia="Century Gothic" w:hAnsi="Gadugi" w:cs="Century Gothic"/>
          <w:color w:val="000000"/>
        </w:rPr>
        <w:t xml:space="preserve"> </w:t>
      </w:r>
    </w:p>
    <w:p w14:paraId="517A6E8E" w14:textId="55783430" w:rsidR="00E720C9" w:rsidRPr="00340AE5" w:rsidRDefault="00A97D62"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r w:rsidR="00E720C9" w:rsidRPr="00340AE5">
        <w:rPr>
          <w:rFonts w:ascii="Gadugi" w:eastAsia="Century Gothic" w:hAnsi="Gadugi" w:cs="Century Gothic"/>
          <w:b/>
          <w:color w:val="000000"/>
          <w:sz w:val="22"/>
          <w:szCs w:val="22"/>
        </w:rPr>
        <w:t xml:space="preserve"> </w:t>
      </w:r>
    </w:p>
    <w:p w14:paraId="5C3F30DF" w14:textId="77777777" w:rsidR="00A97D62" w:rsidRPr="00340AE5" w:rsidRDefault="00A97D62"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p>
    <w:p w14:paraId="60F028CE" w14:textId="3ECD122D" w:rsidR="00E720C9" w:rsidRPr="00340AE5" w:rsidRDefault="00E720C9"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EL CONGRESO DE COLOMBIA</w:t>
      </w:r>
    </w:p>
    <w:p w14:paraId="785A6443" w14:textId="77777777" w:rsidR="00E720C9" w:rsidRPr="00340AE5" w:rsidRDefault="00E720C9" w:rsidP="00E720C9">
      <w:pPr>
        <w:pBdr>
          <w:top w:val="nil"/>
          <w:left w:val="nil"/>
          <w:bottom w:val="nil"/>
          <w:right w:val="nil"/>
          <w:between w:val="nil"/>
        </w:pBdr>
        <w:spacing w:line="276" w:lineRule="auto"/>
        <w:ind w:right="40"/>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 xml:space="preserve"> </w:t>
      </w:r>
    </w:p>
    <w:p w14:paraId="3EC56117" w14:textId="77777777" w:rsidR="00E720C9" w:rsidRPr="00340AE5" w:rsidRDefault="00E720C9"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DECRETA:</w:t>
      </w:r>
    </w:p>
    <w:p w14:paraId="0333ACD5" w14:textId="77777777" w:rsidR="00C14DAE" w:rsidRPr="00340AE5" w:rsidRDefault="00C14DAE"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p>
    <w:p w14:paraId="16B89CFF" w14:textId="04F9CD2D" w:rsidR="00C14DAE" w:rsidRPr="00340AE5" w:rsidRDefault="00C14DAE"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 xml:space="preserve">TITULO I </w:t>
      </w:r>
    </w:p>
    <w:p w14:paraId="1DA279A0" w14:textId="77777777" w:rsidR="00C14DAE" w:rsidRPr="00340AE5" w:rsidRDefault="00C14DAE"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p>
    <w:p w14:paraId="6AC26051" w14:textId="2EB6238C" w:rsidR="00C14DAE" w:rsidRPr="00340AE5" w:rsidRDefault="00C14DAE" w:rsidP="00E720C9">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340AE5">
        <w:rPr>
          <w:rFonts w:ascii="Gadugi" w:eastAsia="Century Gothic" w:hAnsi="Gadugi" w:cs="Century Gothic"/>
          <w:b/>
          <w:color w:val="000000"/>
          <w:sz w:val="22"/>
          <w:szCs w:val="22"/>
        </w:rPr>
        <w:t xml:space="preserve">DISPOSICIONES GENERALES </w:t>
      </w:r>
    </w:p>
    <w:p w14:paraId="352A87D9" w14:textId="77777777" w:rsidR="00E720C9" w:rsidRPr="00340AE5" w:rsidRDefault="00E720C9" w:rsidP="00E720C9">
      <w:pPr>
        <w:pBdr>
          <w:top w:val="nil"/>
          <w:left w:val="nil"/>
          <w:bottom w:val="nil"/>
          <w:right w:val="nil"/>
          <w:between w:val="nil"/>
        </w:pBdr>
        <w:spacing w:line="276" w:lineRule="auto"/>
        <w:rPr>
          <w:rFonts w:ascii="Gadugi" w:eastAsia="Century Gothic" w:hAnsi="Gadugi" w:cs="Century Gothic"/>
          <w:color w:val="000000"/>
          <w:sz w:val="22"/>
          <w:szCs w:val="22"/>
        </w:rPr>
      </w:pPr>
    </w:p>
    <w:p w14:paraId="3BAA572A"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Artículo 1.</w:t>
      </w:r>
      <w:r w:rsidRPr="00340AE5">
        <w:rPr>
          <w:rFonts w:ascii="Gadugi" w:eastAsia="Century Gothic" w:hAnsi="Gadugi" w:cs="Century Gothic"/>
          <w:sz w:val="22"/>
          <w:szCs w:val="22"/>
        </w:rPr>
        <w:t xml:space="preserve"> </w:t>
      </w:r>
      <w:r w:rsidRPr="00340AE5">
        <w:rPr>
          <w:rFonts w:ascii="Gadugi" w:eastAsia="Century Gothic" w:hAnsi="Gadugi" w:cs="Century Gothic"/>
          <w:b/>
          <w:sz w:val="22"/>
          <w:szCs w:val="22"/>
        </w:rPr>
        <w:t>Objeto.</w:t>
      </w:r>
      <w:r w:rsidRPr="00340AE5">
        <w:rPr>
          <w:rFonts w:ascii="Gadugi" w:eastAsia="Century Gothic" w:hAnsi="Gadugi" w:cs="Century Gothic"/>
          <w:sz w:val="22"/>
          <w:szCs w:val="22"/>
        </w:rPr>
        <w:t xml:space="preserve"> 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p w14:paraId="10DEBD1A" w14:textId="38E30F47" w:rsidR="00E720C9" w:rsidRPr="00340AE5" w:rsidRDefault="00E720C9" w:rsidP="00E720C9">
      <w:pPr>
        <w:jc w:val="both"/>
        <w:rPr>
          <w:rFonts w:ascii="Gadugi" w:eastAsia="Century Gothic" w:hAnsi="Gadugi" w:cs="Century Gothic"/>
          <w:b/>
          <w:sz w:val="22"/>
          <w:szCs w:val="22"/>
        </w:rPr>
      </w:pPr>
      <w:bookmarkStart w:id="62" w:name="_heading=h.6fcwrb47xd0l" w:colFirst="0" w:colLast="0"/>
      <w:bookmarkEnd w:id="62"/>
    </w:p>
    <w:p w14:paraId="79CDE6BD" w14:textId="77777777" w:rsidR="00677A8D" w:rsidRPr="00340AE5" w:rsidRDefault="00677A8D" w:rsidP="00E720C9">
      <w:pPr>
        <w:jc w:val="both"/>
        <w:rPr>
          <w:rFonts w:ascii="Gadugi" w:eastAsia="Century Gothic" w:hAnsi="Gadugi" w:cs="Century Gothic"/>
          <w:b/>
          <w:sz w:val="22"/>
          <w:szCs w:val="22"/>
        </w:rPr>
      </w:pPr>
    </w:p>
    <w:p w14:paraId="4C0955ED"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 xml:space="preserve">Artículo 2. Alcance. </w:t>
      </w:r>
      <w:r w:rsidRPr="00340AE5">
        <w:rPr>
          <w:rFonts w:ascii="Gadugi" w:eastAsia="Century Gothic" w:hAnsi="Gadugi" w:cs="Century Gothic"/>
          <w:sz w:val="22"/>
          <w:szCs w:val="22"/>
        </w:rPr>
        <w:t xml:space="preserve">Los principios y disposiciones contenidas en la presente ley serán aplicables para los procesos de divorcio, los de declaración de unión marital de hecho y cesación de efectos civiles de matrimonio católico reglamentados en el Código General del Proceso o cualquier norma que la derogue o modifique. </w:t>
      </w:r>
    </w:p>
    <w:p w14:paraId="1D3249E1" w14:textId="6B19D998" w:rsidR="00E720C9" w:rsidRPr="00340AE5" w:rsidRDefault="00E720C9" w:rsidP="00E720C9">
      <w:pPr>
        <w:jc w:val="both"/>
        <w:rPr>
          <w:rFonts w:ascii="Gadugi" w:eastAsia="Century Gothic" w:hAnsi="Gadugi" w:cs="Century Gothic"/>
          <w:b/>
          <w:sz w:val="22"/>
          <w:szCs w:val="22"/>
        </w:rPr>
      </w:pPr>
    </w:p>
    <w:p w14:paraId="59BD7CA6" w14:textId="77777777" w:rsidR="00677A8D" w:rsidRPr="00340AE5" w:rsidRDefault="00677A8D" w:rsidP="00E720C9">
      <w:pPr>
        <w:jc w:val="both"/>
        <w:rPr>
          <w:rFonts w:ascii="Gadugi" w:eastAsia="Century Gothic" w:hAnsi="Gadugi" w:cs="Century Gothic"/>
          <w:b/>
          <w:sz w:val="22"/>
          <w:szCs w:val="22"/>
        </w:rPr>
      </w:pPr>
    </w:p>
    <w:p w14:paraId="2D48FBFB" w14:textId="77777777" w:rsidR="00E720C9" w:rsidRPr="00340AE5" w:rsidRDefault="00E720C9" w:rsidP="00E720C9">
      <w:pPr>
        <w:jc w:val="both"/>
        <w:rPr>
          <w:rFonts w:ascii="Gadugi" w:hAnsi="Gadugi"/>
          <w:sz w:val="22"/>
          <w:szCs w:val="22"/>
          <w:lang w:eastAsia="es-CO"/>
        </w:rPr>
      </w:pPr>
      <w:bookmarkStart w:id="63" w:name="_heading=h.e4muitf827h9" w:colFirst="0" w:colLast="0"/>
      <w:bookmarkEnd w:id="63"/>
      <w:r w:rsidRPr="00340AE5">
        <w:rPr>
          <w:rFonts w:ascii="Gadugi" w:eastAsia="Century Gothic" w:hAnsi="Gadugi" w:cs="Century Gothic"/>
          <w:b/>
          <w:sz w:val="22"/>
          <w:szCs w:val="22"/>
        </w:rPr>
        <w:t xml:space="preserve">Artículo 3. Principio de reparación integral de perjuicios por violencias basadas en género y otras violencias en el contexto familiar. </w:t>
      </w:r>
      <w:r w:rsidRPr="00340AE5">
        <w:rPr>
          <w:rFonts w:ascii="Gadugi" w:hAnsi="Gadugi"/>
          <w:sz w:val="22"/>
          <w:szCs w:val="22"/>
          <w:lang w:eastAsia="es-CO"/>
        </w:rPr>
        <w:t>La reparación integral implica la obligación de restablecer los derechos vulnerados de las víctimas de violencias basadas en género y de violencias en el contexto familiar, incluyendo los daños de carácter material, moral y a la vida de relación. Esta debe ser adecuada, diferenciada y efectiva, considerando las condiciones particulares de cada víctima, y procurando su restitución, rehabilitación, compensación, satisfacción y garantías de no repetición. Su finalidad es dignificar a la persona afectada, contribuir a la superación de las consecuencias de la violencia sufrida y garantizar su derecho a una vida libre de violencias, sin que ello implique retornar a situaciones de vulnerabilidad previas al hecho dañoso.</w:t>
      </w:r>
    </w:p>
    <w:p w14:paraId="63F78B59" w14:textId="5563E3D0" w:rsidR="00E720C9" w:rsidRPr="00340AE5" w:rsidRDefault="00E720C9" w:rsidP="00E720C9">
      <w:pPr>
        <w:jc w:val="both"/>
        <w:rPr>
          <w:rFonts w:ascii="Gadugi" w:hAnsi="Gadugi"/>
          <w:sz w:val="22"/>
          <w:szCs w:val="22"/>
          <w:lang w:eastAsia="es-CO"/>
        </w:rPr>
      </w:pPr>
    </w:p>
    <w:p w14:paraId="742797E6" w14:textId="77777777" w:rsidR="00677A8D" w:rsidRPr="00340AE5" w:rsidRDefault="00677A8D" w:rsidP="00E720C9">
      <w:pPr>
        <w:jc w:val="both"/>
        <w:rPr>
          <w:rFonts w:ascii="Gadugi" w:hAnsi="Gadugi"/>
          <w:sz w:val="22"/>
          <w:szCs w:val="22"/>
          <w:lang w:eastAsia="es-CO"/>
        </w:rPr>
      </w:pPr>
    </w:p>
    <w:p w14:paraId="2AA9B3E5" w14:textId="77253F8B" w:rsidR="00E720C9" w:rsidRPr="00340AE5" w:rsidRDefault="00E720C9" w:rsidP="00E720C9">
      <w:pPr>
        <w:jc w:val="both"/>
        <w:rPr>
          <w:rFonts w:ascii="Gadugi" w:eastAsia="Century Gothic" w:hAnsi="Gadugi" w:cs="Century Gothic"/>
          <w:b/>
          <w:sz w:val="22"/>
          <w:szCs w:val="22"/>
        </w:rPr>
      </w:pPr>
      <w:bookmarkStart w:id="64" w:name="_heading=h.sdi46w63ykd1" w:colFirst="0" w:colLast="0"/>
      <w:bookmarkEnd w:id="64"/>
      <w:r w:rsidRPr="00340AE5">
        <w:rPr>
          <w:rFonts w:ascii="Gadugi" w:eastAsia="Century Gothic" w:hAnsi="Gadugi" w:cs="Century Gothic"/>
          <w:b/>
          <w:sz w:val="22"/>
          <w:szCs w:val="22"/>
        </w:rPr>
        <w:t>Artículo 4. Derechos en el incidente de reparación integral de perjuicios por violencia basada en género y violencias en el contexto familiar.</w:t>
      </w:r>
      <w:r w:rsidRPr="00340AE5">
        <w:rPr>
          <w:rFonts w:ascii="Gadugi" w:eastAsia="Century Gothic" w:hAnsi="Gadugi" w:cs="Century Gothic"/>
          <w:sz w:val="22"/>
          <w:szCs w:val="22"/>
        </w:rPr>
        <w:t xml:space="preserve"> Se tendrán como derechos de las personas involucradas en el incidente de reparación integral de perjuicios por violencias basadas en género en procesos de divorcio y los de declaración de unión marital de hecho, sin perjuicio de los establecidos en la Constitución Política, en las Convenciones suscritas y ratificadas por Colombia y en leyes especiales los siguientes:</w:t>
      </w:r>
      <w:r w:rsidR="00DD577D" w:rsidRPr="00340AE5">
        <w:rPr>
          <w:rFonts w:ascii="Gadugi" w:eastAsia="Century Gothic" w:hAnsi="Gadugi" w:cs="Century Gothic"/>
          <w:sz w:val="22"/>
          <w:szCs w:val="22"/>
        </w:rPr>
        <w:tab/>
      </w:r>
      <w:r w:rsidR="00DD577D" w:rsidRPr="00340AE5">
        <w:rPr>
          <w:rFonts w:ascii="Gadugi" w:eastAsia="Century Gothic" w:hAnsi="Gadugi" w:cs="Century Gothic"/>
          <w:sz w:val="22"/>
          <w:szCs w:val="22"/>
        </w:rPr>
        <w:br/>
      </w:r>
    </w:p>
    <w:p w14:paraId="4B671482" w14:textId="682DFF39" w:rsidR="00E720C9" w:rsidRPr="00340AE5" w:rsidRDefault="00E720C9" w:rsidP="00CA2EA8">
      <w:pPr>
        <w:numPr>
          <w:ilvl w:val="0"/>
          <w:numId w:val="39"/>
        </w:numPr>
        <w:spacing w:line="259" w:lineRule="auto"/>
        <w:jc w:val="both"/>
        <w:rPr>
          <w:rFonts w:ascii="Gadugi" w:eastAsia="Century Gothic" w:hAnsi="Gadugi" w:cs="Century Gothic"/>
          <w:b/>
          <w:sz w:val="22"/>
          <w:szCs w:val="22"/>
        </w:rPr>
      </w:pPr>
      <w:bookmarkStart w:id="65" w:name="_heading=h.dbcd0f8lrb0" w:colFirst="0" w:colLast="0"/>
      <w:bookmarkEnd w:id="65"/>
      <w:r w:rsidRPr="00340AE5">
        <w:rPr>
          <w:rFonts w:ascii="Gadugi" w:eastAsia="Century Gothic" w:hAnsi="Gadugi" w:cs="Century Gothic"/>
          <w:b/>
          <w:sz w:val="22"/>
          <w:szCs w:val="22"/>
        </w:rPr>
        <w:t xml:space="preserve">Derecho al debido proceso: </w:t>
      </w:r>
      <w:r w:rsidRPr="00340AE5">
        <w:rPr>
          <w:rFonts w:ascii="Gadugi" w:eastAsia="Century Gothic" w:hAnsi="Gadugi" w:cs="Century Gothic"/>
          <w:sz w:val="22"/>
          <w:szCs w:val="22"/>
        </w:rPr>
        <w:t>Las partes contarán con todas las garantías procesales necesarias para asegurar la protección de sus derechos, la igualdad de condiciones en la actuación judicial y la materialización efectiva de la justicia.</w:t>
      </w:r>
      <w:r w:rsidR="00677A8D" w:rsidRPr="00340AE5">
        <w:rPr>
          <w:rFonts w:ascii="Gadugi" w:eastAsia="Century Gothic" w:hAnsi="Gadugi" w:cs="Century Gothic"/>
          <w:sz w:val="22"/>
          <w:szCs w:val="22"/>
        </w:rPr>
        <w:br/>
      </w:r>
    </w:p>
    <w:p w14:paraId="7D63C43B" w14:textId="77777777" w:rsidR="00E720C9" w:rsidRPr="00340AE5" w:rsidRDefault="00E720C9" w:rsidP="00CA2EA8">
      <w:pPr>
        <w:numPr>
          <w:ilvl w:val="0"/>
          <w:numId w:val="39"/>
        </w:numPr>
        <w:spacing w:after="160" w:line="259" w:lineRule="auto"/>
        <w:jc w:val="both"/>
        <w:rPr>
          <w:rFonts w:ascii="Gadugi" w:eastAsia="Century Gothic" w:hAnsi="Gadugi" w:cs="Century Gothic"/>
          <w:b/>
          <w:sz w:val="22"/>
          <w:szCs w:val="22"/>
        </w:rPr>
      </w:pPr>
      <w:bookmarkStart w:id="66" w:name="_heading=h.25kbpeq81rnv" w:colFirst="0" w:colLast="0"/>
      <w:bookmarkEnd w:id="66"/>
      <w:r w:rsidRPr="00340AE5">
        <w:rPr>
          <w:rFonts w:ascii="Gadugi" w:eastAsia="Century Gothic" w:hAnsi="Gadugi" w:cs="Century Gothic"/>
          <w:b/>
          <w:sz w:val="22"/>
          <w:szCs w:val="22"/>
        </w:rPr>
        <w:t xml:space="preserve">Derecho de no </w:t>
      </w:r>
      <w:proofErr w:type="spellStart"/>
      <w:r w:rsidRPr="00340AE5">
        <w:rPr>
          <w:rFonts w:ascii="Gadugi" w:eastAsia="Century Gothic" w:hAnsi="Gadugi" w:cs="Century Gothic"/>
          <w:b/>
          <w:sz w:val="22"/>
          <w:szCs w:val="22"/>
        </w:rPr>
        <w:t>revictimización</w:t>
      </w:r>
      <w:proofErr w:type="spellEnd"/>
      <w:r w:rsidRPr="00340AE5">
        <w:rPr>
          <w:rFonts w:ascii="Gadugi" w:eastAsia="Century Gothic" w:hAnsi="Gadugi" w:cs="Century Gothic"/>
          <w:b/>
          <w:sz w:val="22"/>
          <w:szCs w:val="22"/>
        </w:rPr>
        <w:t xml:space="preserve">: </w:t>
      </w:r>
      <w:r w:rsidRPr="00340AE5">
        <w:rPr>
          <w:rFonts w:ascii="Gadugi" w:eastAsia="Century Gothic" w:hAnsi="Gadugi" w:cs="Century Gothic"/>
          <w:sz w:val="22"/>
          <w:szCs w:val="22"/>
        </w:rPr>
        <w:t xml:space="preserve">La persona víctima de las violencias basadas en género tiene el derecho a que, en ninguna etapa del incidente, con la actuación del juez, terceros o las partes, se reproduzcan acciones, declaraciones o prácticas que profundicen el daño sufrido o que generen nuevos perjuicios adicionales al de la violencia basada en género. </w:t>
      </w:r>
    </w:p>
    <w:p w14:paraId="776C05DD" w14:textId="77777777" w:rsidR="00E720C9" w:rsidRPr="00340AE5" w:rsidRDefault="00E720C9" w:rsidP="00CA2EA8">
      <w:pPr>
        <w:numPr>
          <w:ilvl w:val="0"/>
          <w:numId w:val="39"/>
        </w:numPr>
        <w:spacing w:after="160" w:line="259" w:lineRule="auto"/>
        <w:jc w:val="both"/>
        <w:rPr>
          <w:rFonts w:ascii="Gadugi" w:eastAsia="Century Gothic" w:hAnsi="Gadugi" w:cs="Century Gothic"/>
          <w:sz w:val="22"/>
          <w:szCs w:val="22"/>
        </w:rPr>
      </w:pPr>
      <w:bookmarkStart w:id="67" w:name="_heading=h.di32u8cd9wgx" w:colFirst="0" w:colLast="0"/>
      <w:bookmarkEnd w:id="67"/>
      <w:r w:rsidRPr="00340AE5">
        <w:rPr>
          <w:rFonts w:ascii="Gadugi" w:eastAsia="Century Gothic" w:hAnsi="Gadugi" w:cs="Century Gothic"/>
          <w:b/>
          <w:sz w:val="22"/>
          <w:szCs w:val="22"/>
        </w:rPr>
        <w:t>Derecho a no ser confrontada con la persona agresora:</w:t>
      </w:r>
      <w:r w:rsidRPr="00340AE5">
        <w:rPr>
          <w:rFonts w:ascii="Gadugi" w:eastAsia="Century Gothic" w:hAnsi="Gadugi" w:cs="Century Gothic"/>
          <w:sz w:val="22"/>
          <w:szCs w:val="22"/>
        </w:rPr>
        <w:t xml:space="preserve"> La persona víctima de las violencias basadas en género tiene el derecho a decidir voluntariamente si desea o no confrontarse con la persona agresora en el marco del incidente de reparación integral de perjuicios por violencias basadas en género.</w:t>
      </w:r>
    </w:p>
    <w:p w14:paraId="0629E800" w14:textId="77777777" w:rsidR="00E720C9" w:rsidRPr="00340AE5" w:rsidRDefault="00E720C9" w:rsidP="00E720C9">
      <w:pPr>
        <w:ind w:left="708"/>
        <w:jc w:val="both"/>
        <w:rPr>
          <w:rFonts w:ascii="Gadugi" w:eastAsia="Century Gothic" w:hAnsi="Gadugi" w:cs="Century Gothic"/>
          <w:sz w:val="22"/>
          <w:szCs w:val="22"/>
        </w:rPr>
      </w:pPr>
      <w:r w:rsidRPr="00340AE5">
        <w:rPr>
          <w:rFonts w:ascii="Gadugi" w:eastAsia="Century Gothic" w:hAnsi="Gadugi" w:cs="Century Gothic"/>
          <w:sz w:val="22"/>
          <w:szCs w:val="22"/>
        </w:rPr>
        <w:t>El juez deberá adoptar las medidas necesarias para garantizar este derecho y prevenir escenarios de intimidación, coerción o afectación emocional.</w:t>
      </w:r>
    </w:p>
    <w:p w14:paraId="10B5ED18" w14:textId="47A52E5C" w:rsidR="00E720C9" w:rsidRPr="00340AE5" w:rsidRDefault="00E720C9" w:rsidP="00E720C9">
      <w:pPr>
        <w:jc w:val="both"/>
        <w:rPr>
          <w:rFonts w:ascii="Gadugi" w:eastAsia="Century Gothic" w:hAnsi="Gadugi" w:cs="Century Gothic"/>
          <w:sz w:val="22"/>
          <w:szCs w:val="22"/>
        </w:rPr>
      </w:pPr>
    </w:p>
    <w:p w14:paraId="26F0548B" w14:textId="77777777" w:rsidR="00677A8D" w:rsidRPr="00340AE5" w:rsidRDefault="00677A8D" w:rsidP="00E720C9">
      <w:pPr>
        <w:jc w:val="both"/>
        <w:rPr>
          <w:rFonts w:ascii="Gadugi" w:eastAsia="Century Gothic" w:hAnsi="Gadugi" w:cs="Century Gothic"/>
          <w:sz w:val="22"/>
          <w:szCs w:val="22"/>
        </w:rPr>
      </w:pPr>
    </w:p>
    <w:p w14:paraId="2E5561D3" w14:textId="1342B06D" w:rsidR="00E720C9" w:rsidRPr="00340AE5" w:rsidRDefault="00E720C9" w:rsidP="00E720C9">
      <w:pPr>
        <w:jc w:val="both"/>
        <w:rPr>
          <w:rFonts w:ascii="Gadugi" w:hAnsi="Gadugi" w:cs="Segoe UI"/>
          <w:color w:val="242424"/>
          <w:sz w:val="22"/>
          <w:szCs w:val="22"/>
          <w:shd w:val="clear" w:color="auto" w:fill="FFFFFF"/>
        </w:rPr>
      </w:pPr>
      <w:bookmarkStart w:id="68" w:name="_heading=h.5mxq0hvob3oy" w:colFirst="0" w:colLast="0"/>
      <w:bookmarkEnd w:id="68"/>
      <w:r w:rsidRPr="00340AE5">
        <w:rPr>
          <w:rFonts w:ascii="Gadugi" w:eastAsia="Century Gothic" w:hAnsi="Gadugi" w:cs="Century Gothic"/>
          <w:b/>
          <w:sz w:val="22"/>
          <w:szCs w:val="22"/>
        </w:rPr>
        <w:t xml:space="preserve">Artículo 5. Enfoques diferenciales. </w:t>
      </w:r>
      <w:r w:rsidRPr="00340AE5">
        <w:rPr>
          <w:rFonts w:ascii="Gadugi" w:hAnsi="Gadugi" w:cs="Segoe UI"/>
          <w:color w:val="242424"/>
          <w:sz w:val="22"/>
          <w:szCs w:val="22"/>
          <w:shd w:val="clear" w:color="auto" w:fill="FFFFFF"/>
        </w:rPr>
        <w:t xml:space="preserve">Las autoridades judiciales que apliquen las disposiciones de la presente ley deberán interpretarla y aplicarla desde una perspectiva de género, incorporando también los </w:t>
      </w:r>
      <w:r w:rsidR="00A97D62" w:rsidRPr="00340AE5">
        <w:rPr>
          <w:rFonts w:ascii="Gadugi" w:hAnsi="Gadugi" w:cs="Segoe UI"/>
          <w:color w:val="242424"/>
          <w:sz w:val="22"/>
          <w:szCs w:val="22"/>
          <w:shd w:val="clear" w:color="auto" w:fill="FFFFFF"/>
        </w:rPr>
        <w:t>enfoques diferenciales</w:t>
      </w:r>
      <w:r w:rsidRPr="00340AE5">
        <w:rPr>
          <w:rFonts w:ascii="Gadugi" w:hAnsi="Gadugi" w:cs="Segoe UI"/>
          <w:color w:val="242424"/>
          <w:sz w:val="22"/>
          <w:szCs w:val="22"/>
          <w:shd w:val="clear" w:color="auto" w:fill="FFFFFF"/>
        </w:rPr>
        <w:t xml:space="preserve">, </w:t>
      </w:r>
      <w:proofErr w:type="spellStart"/>
      <w:r w:rsidRPr="00340AE5">
        <w:rPr>
          <w:rFonts w:ascii="Gadugi" w:hAnsi="Gadugi" w:cs="Segoe UI"/>
          <w:color w:val="242424"/>
          <w:sz w:val="22"/>
          <w:szCs w:val="22"/>
          <w:shd w:val="clear" w:color="auto" w:fill="FFFFFF"/>
        </w:rPr>
        <w:t>interseccional</w:t>
      </w:r>
      <w:proofErr w:type="spellEnd"/>
      <w:r w:rsidRPr="00340AE5">
        <w:rPr>
          <w:rFonts w:ascii="Gadugi" w:hAnsi="Gadugi" w:cs="Segoe UI"/>
          <w:color w:val="242424"/>
          <w:sz w:val="22"/>
          <w:szCs w:val="22"/>
          <w:shd w:val="clear" w:color="auto" w:fill="FFFFFF"/>
        </w:rPr>
        <w:t xml:space="preserve"> y de orientaciones sexuales e identidades de género diversas. La interpretación y aplicación de las normas deberá reconocer y atender las múltiples formas de discriminación y desigualdad que afectan a las personas en razón de su género, identidad u orientación sexual, así como por factores étnicos, etarios, territoriales, socioeconómicos, de discapacidad u otros que generen condiciones de vulnerabilidad. </w:t>
      </w:r>
    </w:p>
    <w:p w14:paraId="5CEC2B59" w14:textId="77777777" w:rsidR="00677A8D" w:rsidRPr="00340AE5" w:rsidRDefault="00677A8D" w:rsidP="00E720C9">
      <w:pPr>
        <w:jc w:val="center"/>
        <w:rPr>
          <w:rFonts w:ascii="Gadugi" w:eastAsia="Century Gothic" w:hAnsi="Gadugi" w:cs="Century Gothic"/>
          <w:b/>
          <w:sz w:val="22"/>
          <w:szCs w:val="22"/>
        </w:rPr>
      </w:pPr>
      <w:bookmarkStart w:id="69" w:name="_heading=h.ukpa3w2fm9fr" w:colFirst="0" w:colLast="0"/>
      <w:bookmarkEnd w:id="69"/>
    </w:p>
    <w:p w14:paraId="1F1A0A5F" w14:textId="05248863" w:rsidR="00677A8D" w:rsidRPr="00340AE5" w:rsidRDefault="00C14DAE" w:rsidP="00E720C9">
      <w:pPr>
        <w:jc w:val="center"/>
        <w:rPr>
          <w:rFonts w:ascii="Gadugi" w:eastAsia="Century Gothic" w:hAnsi="Gadugi" w:cs="Century Gothic"/>
          <w:b/>
          <w:sz w:val="22"/>
          <w:szCs w:val="22"/>
        </w:rPr>
      </w:pPr>
      <w:r w:rsidRPr="00340AE5">
        <w:rPr>
          <w:rFonts w:ascii="Gadugi" w:eastAsia="Century Gothic" w:hAnsi="Gadugi" w:cs="Century Gothic"/>
          <w:b/>
          <w:sz w:val="22"/>
          <w:szCs w:val="22"/>
        </w:rPr>
        <w:t>T</w:t>
      </w:r>
      <w:r w:rsidR="00DD577D" w:rsidRPr="00340AE5">
        <w:rPr>
          <w:rFonts w:ascii="Gadugi" w:eastAsia="Century Gothic" w:hAnsi="Gadugi" w:cs="Century Gothic"/>
          <w:b/>
          <w:sz w:val="22"/>
          <w:szCs w:val="22"/>
        </w:rPr>
        <w:t>Í</w:t>
      </w:r>
      <w:r w:rsidRPr="00340AE5">
        <w:rPr>
          <w:rFonts w:ascii="Gadugi" w:eastAsia="Century Gothic" w:hAnsi="Gadugi" w:cs="Century Gothic"/>
          <w:b/>
          <w:sz w:val="22"/>
          <w:szCs w:val="22"/>
        </w:rPr>
        <w:t xml:space="preserve">TULO II </w:t>
      </w:r>
    </w:p>
    <w:p w14:paraId="43FEE4E7" w14:textId="77777777" w:rsidR="00C14DAE" w:rsidRPr="00340AE5" w:rsidRDefault="00C14DAE" w:rsidP="00E720C9">
      <w:pPr>
        <w:jc w:val="center"/>
        <w:rPr>
          <w:rFonts w:ascii="Gadugi" w:eastAsia="Century Gothic" w:hAnsi="Gadugi" w:cs="Century Gothic"/>
          <w:b/>
          <w:sz w:val="22"/>
          <w:szCs w:val="22"/>
        </w:rPr>
      </w:pPr>
    </w:p>
    <w:p w14:paraId="5A844E0D" w14:textId="26AF6C6B" w:rsidR="00E720C9" w:rsidRPr="00340AE5" w:rsidRDefault="00C14DAE" w:rsidP="0059699A">
      <w:pPr>
        <w:jc w:val="both"/>
        <w:rPr>
          <w:rFonts w:ascii="Gadugi" w:eastAsia="Century Gothic" w:hAnsi="Gadugi" w:cs="Century Gothic"/>
          <w:b/>
          <w:sz w:val="22"/>
          <w:szCs w:val="22"/>
        </w:rPr>
      </w:pPr>
      <w:r w:rsidRPr="00340AE5">
        <w:rPr>
          <w:rFonts w:ascii="Gadugi" w:eastAsia="Century Gothic" w:hAnsi="Gadugi" w:cs="Century Gothic"/>
          <w:b/>
          <w:sz w:val="22"/>
          <w:szCs w:val="22"/>
        </w:rPr>
        <w:t>DEL TRÁMITE DE INCIDENTE DE REPARACIÓN INTEGRAL DE PERJUICIOS POR VIOLENCIAS BASADAS EN GÉNERO DENTRO DE LOS PROCESOS DE DIVORCIO, LOS DE DECLARACIÓN DE UNIÓN MARITAL DE HECHO Y CESACIÓN DE EFECTOS CIVILES DE MATRIMONIO CATÓLICO</w:t>
      </w:r>
      <w:r w:rsidR="00E720C9" w:rsidRPr="00340AE5">
        <w:rPr>
          <w:rFonts w:ascii="Gadugi" w:eastAsia="Century Gothic" w:hAnsi="Gadugi" w:cs="Century Gothic"/>
          <w:b/>
          <w:sz w:val="22"/>
          <w:szCs w:val="22"/>
        </w:rPr>
        <w:t>.</w:t>
      </w:r>
    </w:p>
    <w:p w14:paraId="0EC7E2E5" w14:textId="627E6119" w:rsidR="00677A8D" w:rsidRPr="00340AE5" w:rsidRDefault="00677A8D" w:rsidP="00E720C9">
      <w:pPr>
        <w:jc w:val="center"/>
        <w:rPr>
          <w:rFonts w:ascii="Gadugi" w:eastAsia="Century Gothic" w:hAnsi="Gadugi" w:cs="Century Gothic"/>
          <w:b/>
          <w:sz w:val="22"/>
          <w:szCs w:val="22"/>
        </w:rPr>
      </w:pPr>
    </w:p>
    <w:p w14:paraId="255FE223" w14:textId="77777777" w:rsidR="00677A8D" w:rsidRPr="00340AE5" w:rsidRDefault="00677A8D" w:rsidP="00E720C9">
      <w:pPr>
        <w:jc w:val="center"/>
        <w:rPr>
          <w:rFonts w:ascii="Gadugi" w:eastAsia="Century Gothic" w:hAnsi="Gadugi" w:cs="Century Gothic"/>
          <w:b/>
          <w:sz w:val="22"/>
          <w:szCs w:val="22"/>
        </w:rPr>
      </w:pPr>
    </w:p>
    <w:p w14:paraId="14BD2EEB" w14:textId="77777777" w:rsidR="00E720C9" w:rsidRPr="00340AE5" w:rsidRDefault="00E720C9" w:rsidP="00E720C9">
      <w:pPr>
        <w:jc w:val="both"/>
        <w:rPr>
          <w:rFonts w:ascii="Gadugi" w:eastAsia="Century Gothic" w:hAnsi="Gadugi" w:cs="Century Gothic"/>
          <w:sz w:val="22"/>
          <w:szCs w:val="22"/>
        </w:rPr>
      </w:pPr>
      <w:bookmarkStart w:id="70" w:name="_heading=h.v5o6cvloj1xx" w:colFirst="0" w:colLast="0"/>
      <w:bookmarkEnd w:id="70"/>
      <w:r w:rsidRPr="00340AE5">
        <w:rPr>
          <w:rFonts w:ascii="Gadugi" w:eastAsia="Century Gothic" w:hAnsi="Gadugi" w:cs="Century Gothic"/>
          <w:b/>
          <w:sz w:val="22"/>
          <w:szCs w:val="22"/>
        </w:rPr>
        <w:t>Artículo 6.</w:t>
      </w:r>
      <w:r w:rsidRPr="00340AE5">
        <w:rPr>
          <w:rFonts w:ascii="Gadugi" w:eastAsia="Century Gothic" w:hAnsi="Gadugi" w:cs="Century Gothic"/>
          <w:sz w:val="22"/>
          <w:szCs w:val="22"/>
        </w:rPr>
        <w:t xml:space="preserve"> Adiciónese al numeral 1 del artículo 22 de la Ley 1564 de 2012 lo siguiente: </w:t>
      </w:r>
    </w:p>
    <w:p w14:paraId="38BD9981" w14:textId="28194D7C" w:rsidR="00E720C9" w:rsidRPr="00340AE5" w:rsidRDefault="00E720C9" w:rsidP="00E720C9">
      <w:pPr>
        <w:spacing w:before="180" w:after="180"/>
        <w:jc w:val="both"/>
        <w:rPr>
          <w:rFonts w:ascii="Gadugi" w:eastAsia="Century Gothic" w:hAnsi="Gadugi" w:cs="Century Gothic"/>
          <w:sz w:val="22"/>
          <w:szCs w:val="22"/>
        </w:rPr>
      </w:pPr>
      <w:bookmarkStart w:id="71" w:name="_heading=h.lzhw5289npqx" w:colFirst="0" w:colLast="0"/>
      <w:bookmarkEnd w:id="71"/>
      <w:r w:rsidRPr="00340AE5">
        <w:rPr>
          <w:rFonts w:ascii="Gadugi" w:eastAsia="Century Gothic" w:hAnsi="Gadugi" w:cs="Century Gothic"/>
          <w:sz w:val="22"/>
          <w:szCs w:val="22"/>
        </w:rPr>
        <w:t>1. De los procesos contenciosos de nulidad, divorcio de matrimonio civil, cesación de efectos civiles del matrimonio religioso y separación de cuerpos y de bienes y del incidente de reparación integral de perjuicios por violencias basadas en género y otras violencias en el contexto familiar en estos procesos.</w:t>
      </w:r>
    </w:p>
    <w:p w14:paraId="50C132C9" w14:textId="6B47DA42" w:rsidR="00E720C9" w:rsidRPr="00340AE5" w:rsidRDefault="00677A8D"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br/>
      </w:r>
      <w:r w:rsidR="00E720C9" w:rsidRPr="00340AE5">
        <w:rPr>
          <w:rFonts w:ascii="Gadugi" w:eastAsia="Century Gothic" w:hAnsi="Gadugi" w:cs="Century Gothic"/>
          <w:b/>
          <w:sz w:val="22"/>
          <w:szCs w:val="22"/>
        </w:rPr>
        <w:t>Artículo 7.</w:t>
      </w:r>
      <w:r w:rsidR="00E720C9" w:rsidRPr="00340AE5">
        <w:rPr>
          <w:rFonts w:ascii="Gadugi" w:eastAsia="Century Gothic" w:hAnsi="Gadugi" w:cs="Century Gothic"/>
          <w:sz w:val="22"/>
          <w:szCs w:val="22"/>
        </w:rPr>
        <w:t xml:space="preserve"> Adiciónese al artículo 373 de la Ley 1564 de 2012 el siguiente numeral: </w:t>
      </w:r>
    </w:p>
    <w:p w14:paraId="1FFF22C6" w14:textId="77777777" w:rsidR="00677A8D" w:rsidRPr="00340AE5" w:rsidRDefault="00677A8D" w:rsidP="00E720C9">
      <w:pPr>
        <w:jc w:val="both"/>
        <w:rPr>
          <w:rFonts w:ascii="Gadugi" w:eastAsia="Century Gothic" w:hAnsi="Gadugi" w:cs="Century Gothic"/>
          <w:sz w:val="22"/>
          <w:szCs w:val="22"/>
        </w:rPr>
      </w:pPr>
    </w:p>
    <w:p w14:paraId="1EC6313F"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sz w:val="22"/>
          <w:szCs w:val="22"/>
        </w:rPr>
        <w:t xml:space="preserve">7. Quien haya probado violencias basadas en género en el proceso de divorcio, en la declaración de la unión marital de hecho o cesación de efectos civiles de matrimonio católico, tendrá 30 días a partir de la ejecutoria de la sentencia, para solicitar la apertura del incidente de reparación integral de perjuicios por violencias basadas en género u otras violencias en el contexto familiar.   </w:t>
      </w:r>
    </w:p>
    <w:p w14:paraId="5CB6C32D" w14:textId="77777777" w:rsidR="00E720C9" w:rsidRPr="00340AE5" w:rsidRDefault="00E720C9" w:rsidP="00E720C9">
      <w:pPr>
        <w:spacing w:before="180" w:after="180"/>
        <w:jc w:val="both"/>
        <w:rPr>
          <w:rFonts w:ascii="Gadugi" w:eastAsia="Century Gothic" w:hAnsi="Gadugi" w:cs="Century Gothic"/>
          <w:sz w:val="22"/>
          <w:szCs w:val="22"/>
        </w:rPr>
      </w:pPr>
    </w:p>
    <w:p w14:paraId="6A6A82F7" w14:textId="3E8D0984" w:rsidR="00E720C9" w:rsidRPr="00340AE5" w:rsidRDefault="00E720C9" w:rsidP="00E720C9">
      <w:pPr>
        <w:jc w:val="both"/>
        <w:rPr>
          <w:rFonts w:ascii="Gadugi" w:eastAsia="Century Gothic" w:hAnsi="Gadugi" w:cs="Century Gothic"/>
          <w:sz w:val="22"/>
          <w:szCs w:val="22"/>
        </w:rPr>
      </w:pPr>
      <w:bookmarkStart w:id="72" w:name="_heading=h.odcmcfaejfnq" w:colFirst="0" w:colLast="0"/>
      <w:bookmarkEnd w:id="72"/>
      <w:r w:rsidRPr="00340AE5">
        <w:rPr>
          <w:rFonts w:ascii="Gadugi" w:eastAsia="Century Gothic" w:hAnsi="Gadugi" w:cs="Century Gothic"/>
          <w:b/>
          <w:sz w:val="22"/>
          <w:szCs w:val="22"/>
        </w:rPr>
        <w:t xml:space="preserve">Artículo 8. </w:t>
      </w:r>
      <w:r w:rsidRPr="00340AE5">
        <w:rPr>
          <w:rFonts w:ascii="Gadugi" w:eastAsia="Century Gothic" w:hAnsi="Gadugi" w:cs="Century Gothic"/>
          <w:sz w:val="22"/>
          <w:szCs w:val="22"/>
        </w:rPr>
        <w:t xml:space="preserve">Adiciónese al artículo 389 de la Ley 1564 de 2012 lo siguiente: </w:t>
      </w:r>
    </w:p>
    <w:p w14:paraId="43B2EA64" w14:textId="77777777" w:rsidR="00677A8D" w:rsidRPr="00340AE5" w:rsidRDefault="00677A8D" w:rsidP="00E720C9">
      <w:pPr>
        <w:jc w:val="both"/>
        <w:rPr>
          <w:rFonts w:ascii="Gadugi" w:eastAsia="Century Gothic" w:hAnsi="Gadugi" w:cs="Century Gothic"/>
          <w:sz w:val="22"/>
          <w:szCs w:val="22"/>
        </w:rPr>
      </w:pPr>
    </w:p>
    <w:p w14:paraId="132F33F8" w14:textId="77777777" w:rsidR="00E720C9" w:rsidRPr="00340AE5" w:rsidRDefault="00E720C9" w:rsidP="00E720C9">
      <w:pPr>
        <w:jc w:val="both"/>
        <w:rPr>
          <w:rFonts w:ascii="Gadugi" w:eastAsia="Century Gothic" w:hAnsi="Gadugi" w:cs="Century Gothic"/>
          <w:sz w:val="22"/>
          <w:szCs w:val="22"/>
        </w:rPr>
      </w:pPr>
      <w:bookmarkStart w:id="73" w:name="_heading=h.969b5lgcw966" w:colFirst="0" w:colLast="0"/>
      <w:bookmarkEnd w:id="73"/>
      <w:r w:rsidRPr="00340AE5">
        <w:rPr>
          <w:rFonts w:ascii="Gadugi" w:eastAsia="Century Gothic" w:hAnsi="Gadugi" w:cs="Century Gothic"/>
          <w:sz w:val="22"/>
          <w:szCs w:val="22"/>
        </w:rPr>
        <w:t xml:space="preserve">7. La orden de apertura del incidente de reparación integral de perjuicios por violencias basadas en género y otras violencias en el contexto familiar dentro de los procesos de divorcio, los de declaración de unión marital de hecho y cesación de efectos civiles de matrimonio católico, si fuere el caso. </w:t>
      </w:r>
    </w:p>
    <w:p w14:paraId="14E97CB3" w14:textId="77777777" w:rsidR="00E720C9" w:rsidRPr="00340AE5" w:rsidRDefault="00E720C9" w:rsidP="00E720C9">
      <w:pPr>
        <w:jc w:val="both"/>
        <w:rPr>
          <w:rFonts w:ascii="Gadugi" w:eastAsia="Century Gothic" w:hAnsi="Gadugi" w:cs="Century Gothic"/>
          <w:sz w:val="22"/>
          <w:szCs w:val="22"/>
        </w:rPr>
      </w:pPr>
    </w:p>
    <w:p w14:paraId="77A123BD" w14:textId="77777777" w:rsidR="00E720C9" w:rsidRPr="00340AE5" w:rsidRDefault="00E720C9" w:rsidP="00E720C9">
      <w:pPr>
        <w:jc w:val="both"/>
        <w:rPr>
          <w:rFonts w:ascii="Gadugi" w:eastAsia="Century Gothic" w:hAnsi="Gadugi" w:cs="Century Gothic"/>
          <w:sz w:val="22"/>
          <w:szCs w:val="22"/>
        </w:rPr>
      </w:pPr>
    </w:p>
    <w:p w14:paraId="7BE50CB5" w14:textId="41D6C536"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Artículo 9.</w:t>
      </w:r>
      <w:r w:rsidRPr="00340AE5">
        <w:rPr>
          <w:rFonts w:ascii="Gadugi" w:eastAsia="Century Gothic" w:hAnsi="Gadugi" w:cs="Century Gothic"/>
          <w:sz w:val="22"/>
          <w:szCs w:val="22"/>
        </w:rPr>
        <w:t xml:space="preserve"> </w:t>
      </w:r>
      <w:r w:rsidRPr="00340AE5">
        <w:rPr>
          <w:rFonts w:ascii="Gadugi" w:eastAsia="Century Gothic" w:hAnsi="Gadugi" w:cs="Century Gothic"/>
          <w:b/>
          <w:sz w:val="22"/>
          <w:szCs w:val="22"/>
        </w:rPr>
        <w:t xml:space="preserve">Reglas aplicables al incidente de reparación integral de perjuicios por violencias basadas en género y otras violencias en el contexto familiar. </w:t>
      </w:r>
      <w:r w:rsidRPr="00340AE5">
        <w:rPr>
          <w:rFonts w:ascii="Gadugi" w:eastAsia="Century Gothic" w:hAnsi="Gadugi" w:cs="Century Gothic"/>
          <w:sz w:val="22"/>
          <w:szCs w:val="22"/>
        </w:rPr>
        <w:t xml:space="preserve">Para el incidente de reparación integral de perjuicios violencias basadas en género dentro de los procesos de divorcio, los de declaración de unión marital de hecho y cesación de efectos civiles de matrimonio católico se aplicará las siguientes reglas: </w:t>
      </w:r>
    </w:p>
    <w:p w14:paraId="67587C03" w14:textId="77777777" w:rsidR="00677A8D" w:rsidRPr="00340AE5" w:rsidRDefault="00677A8D" w:rsidP="00E720C9">
      <w:pPr>
        <w:jc w:val="both"/>
        <w:rPr>
          <w:rFonts w:ascii="Gadugi" w:eastAsia="Century Gothic" w:hAnsi="Gadugi" w:cs="Century Gothic"/>
          <w:sz w:val="22"/>
          <w:szCs w:val="22"/>
        </w:rPr>
      </w:pPr>
    </w:p>
    <w:p w14:paraId="1D25701F" w14:textId="77777777" w:rsidR="00E720C9" w:rsidRPr="00340AE5" w:rsidRDefault="00E720C9" w:rsidP="00CA2EA8">
      <w:pPr>
        <w:numPr>
          <w:ilvl w:val="0"/>
          <w:numId w:val="40"/>
        </w:numPr>
        <w:spacing w:line="259" w:lineRule="auto"/>
        <w:jc w:val="both"/>
        <w:rPr>
          <w:rFonts w:ascii="Gadugi" w:eastAsia="Century Gothic" w:hAnsi="Gadugi" w:cs="Century Gothic"/>
          <w:sz w:val="22"/>
          <w:szCs w:val="22"/>
        </w:rPr>
      </w:pPr>
      <w:r w:rsidRPr="00340AE5">
        <w:rPr>
          <w:rFonts w:ascii="Gadugi" w:eastAsia="Century Gothic" w:hAnsi="Gadugi" w:cs="Century Gothic"/>
          <w:sz w:val="22"/>
          <w:szCs w:val="22"/>
        </w:rPr>
        <w:t>La solicitud de apertura del incidente deberá contener las pretensiones, los hechos en que se fundan, y las pruebas que se pretenden hacer valer.</w:t>
      </w:r>
    </w:p>
    <w:p w14:paraId="404B0C2F" w14:textId="77777777" w:rsidR="00E720C9" w:rsidRPr="00340AE5" w:rsidRDefault="00E720C9" w:rsidP="00CA2EA8">
      <w:pPr>
        <w:numPr>
          <w:ilvl w:val="0"/>
          <w:numId w:val="40"/>
        </w:numPr>
        <w:spacing w:line="259"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De la solicitud de apertura del incidente, el Juez correrá traslado a la parte </w:t>
      </w:r>
      <w:proofErr w:type="spellStart"/>
      <w:r w:rsidRPr="00340AE5">
        <w:rPr>
          <w:rFonts w:ascii="Gadugi" w:eastAsia="Century Gothic" w:hAnsi="Gadugi" w:cs="Century Gothic"/>
          <w:sz w:val="22"/>
          <w:szCs w:val="22"/>
        </w:rPr>
        <w:t>incidentada</w:t>
      </w:r>
      <w:proofErr w:type="spellEnd"/>
      <w:r w:rsidRPr="00340AE5">
        <w:rPr>
          <w:rFonts w:ascii="Gadugi" w:eastAsia="Century Gothic" w:hAnsi="Gadugi" w:cs="Century Gothic"/>
          <w:sz w:val="22"/>
          <w:szCs w:val="22"/>
        </w:rPr>
        <w:t xml:space="preserve"> por el término de cinco (5) días. </w:t>
      </w:r>
    </w:p>
    <w:p w14:paraId="1A1F4663" w14:textId="77777777" w:rsidR="00E720C9" w:rsidRPr="00340AE5" w:rsidRDefault="00E720C9" w:rsidP="00CA2EA8">
      <w:pPr>
        <w:numPr>
          <w:ilvl w:val="0"/>
          <w:numId w:val="40"/>
        </w:numPr>
        <w:spacing w:line="259" w:lineRule="auto"/>
        <w:jc w:val="both"/>
        <w:rPr>
          <w:rFonts w:ascii="Gadugi" w:eastAsia="Century Gothic" w:hAnsi="Gadugi" w:cs="Century Gothic"/>
          <w:sz w:val="22"/>
          <w:szCs w:val="22"/>
        </w:rPr>
      </w:pPr>
      <w:r w:rsidRPr="00340AE5">
        <w:rPr>
          <w:rFonts w:ascii="Gadugi" w:eastAsia="Century Gothic" w:hAnsi="Gadugi" w:cs="Century Gothic"/>
          <w:sz w:val="22"/>
          <w:szCs w:val="22"/>
        </w:rPr>
        <w:t>Vencido el traslado, en los tres (3) días siguientes el Juez, mediante auto, fijará fecha para la audiencia de pruebas y sentencia. El Juez establecerá una fecha que no supere los treinta (30) días calendario contados a partir de la finalización del término de traslado.</w:t>
      </w:r>
    </w:p>
    <w:p w14:paraId="3CDBF93D" w14:textId="77777777" w:rsidR="00E720C9" w:rsidRPr="00340AE5" w:rsidRDefault="00E720C9" w:rsidP="00CA2EA8">
      <w:pPr>
        <w:numPr>
          <w:ilvl w:val="0"/>
          <w:numId w:val="40"/>
        </w:numPr>
        <w:spacing w:line="259"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la audiencia referida, se practicarán todas las pruebas, se escucharán los alegatos de conclusión y se dictará sentencia. El Juez no podrá decretar aplazamiento de la audiencia. </w:t>
      </w:r>
    </w:p>
    <w:p w14:paraId="5DF5789E" w14:textId="77777777" w:rsidR="00E720C9" w:rsidRPr="00340AE5" w:rsidRDefault="00E720C9" w:rsidP="00CA2EA8">
      <w:pPr>
        <w:numPr>
          <w:ilvl w:val="0"/>
          <w:numId w:val="40"/>
        </w:numPr>
        <w:spacing w:after="160" w:line="259"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La sentencia que determina el monto de los perjuicios y las medidas que garantizarán la no repetición, es susceptible del recurso de apelación en el efecto suspensivo. </w:t>
      </w:r>
    </w:p>
    <w:p w14:paraId="2D212EF9"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Parágrafo 1.</w:t>
      </w:r>
      <w:r w:rsidRPr="00340AE5">
        <w:rPr>
          <w:rFonts w:ascii="Gadugi" w:eastAsia="Century Gothic" w:hAnsi="Gadugi" w:cs="Century Gothic"/>
          <w:sz w:val="22"/>
          <w:szCs w:val="22"/>
        </w:rPr>
        <w:t xml:space="preserve"> Contra las resoluciones dictadas dentro del procedimiento de incidente de reparación integral de perjuicios únicamente procederá el recurso de reposición.</w:t>
      </w:r>
    </w:p>
    <w:p w14:paraId="70CF6A59" w14:textId="77777777" w:rsidR="00CA2EA8" w:rsidRPr="00340AE5" w:rsidRDefault="00CA2EA8" w:rsidP="00E720C9">
      <w:pPr>
        <w:jc w:val="both"/>
        <w:rPr>
          <w:rFonts w:ascii="Gadugi" w:eastAsia="Century Gothic" w:hAnsi="Gadugi" w:cs="Century Gothic"/>
          <w:sz w:val="22"/>
          <w:szCs w:val="22"/>
        </w:rPr>
      </w:pPr>
    </w:p>
    <w:p w14:paraId="6D13DDAC"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Parágrafo 2.</w:t>
      </w:r>
      <w:r w:rsidRPr="00340AE5">
        <w:rPr>
          <w:rFonts w:ascii="Gadugi" w:eastAsia="Century Gothic" w:hAnsi="Gadugi" w:cs="Century Gothic"/>
          <w:sz w:val="22"/>
          <w:szCs w:val="22"/>
        </w:rPr>
        <w:t xml:space="preserve"> En los aspectos no regulados se aplicarán de manera supletoria los artículos 127 al 131 y el 283 de la Ley 1564 de 2012. </w:t>
      </w:r>
    </w:p>
    <w:p w14:paraId="2E2BF9CF" w14:textId="489A5F4C" w:rsidR="00E720C9" w:rsidRPr="00340AE5" w:rsidRDefault="00E720C9" w:rsidP="00E720C9">
      <w:pPr>
        <w:jc w:val="both"/>
        <w:rPr>
          <w:rFonts w:ascii="Gadugi" w:eastAsia="Century Gothic" w:hAnsi="Gadugi" w:cs="Century Gothic"/>
          <w:sz w:val="22"/>
          <w:szCs w:val="22"/>
        </w:rPr>
      </w:pPr>
    </w:p>
    <w:p w14:paraId="6546C923" w14:textId="679F3E72" w:rsidR="00677A8D" w:rsidRPr="00340AE5" w:rsidRDefault="00677A8D" w:rsidP="00E720C9">
      <w:pPr>
        <w:jc w:val="both"/>
        <w:rPr>
          <w:rFonts w:ascii="Gadugi" w:eastAsia="Century Gothic" w:hAnsi="Gadugi" w:cs="Century Gothic"/>
          <w:sz w:val="22"/>
          <w:szCs w:val="22"/>
        </w:rPr>
      </w:pPr>
    </w:p>
    <w:p w14:paraId="681B4A72" w14:textId="77777777" w:rsidR="00E720C9" w:rsidRPr="00340AE5" w:rsidRDefault="00E720C9"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t xml:space="preserve">Artículo 10.  </w:t>
      </w:r>
      <w:r w:rsidRPr="00340AE5">
        <w:rPr>
          <w:rFonts w:ascii="Gadugi" w:eastAsia="Century Gothic" w:hAnsi="Gadugi" w:cs="Century Gothic"/>
          <w:sz w:val="22"/>
          <w:szCs w:val="22"/>
        </w:rPr>
        <w:t xml:space="preserve">Adiciónese al artículo 598 de la Ley 1564 de 2012 lo siguiente: </w:t>
      </w:r>
    </w:p>
    <w:p w14:paraId="7A03E5DB"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 xml:space="preserve">En los procesos de nulidad de matrimonio, divorcio, cesación de efectos civiles de matrimonio religioso, separación de cuerpos y de bienes, liquidación de sociedades conyugales, disolución y liquidación de sociedades patrimoniales entre compañeros permanentes e incidente de reparación integral de perjuicios por violencias basadas en género y por otras violencias en el contexto familiar, se aplicarán las siguientes reglas: </w:t>
      </w:r>
    </w:p>
    <w:p w14:paraId="0295F8B9"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1. Cualquiera de las partes podrá pedir embargo y secuestro de los bienes que puedan ser objeto de gananciales y que estuvieran en cabeza de la otra. Cuando se trate del incidente de reparación integral de perjuicios por violencias basadas en género y por otras violencias en el contexto familiar, también podrán pedir embargo y secuestro de los bienes muebles e inmuebles propios, con independencia de si son objeto o no de gananciales.</w:t>
      </w:r>
    </w:p>
    <w:p w14:paraId="4E7395EA"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2. El embargo y secuestro practicados en estos procesos no impedirán perfeccionar los que se decreten sobre los mismos bienes en trámite de ejecución, antes de quedar en firme la sentencia favorable al demandante que en aquellos se dicte; con tal objeto, recibida la comunicación del nuevo embargo, simultáneamente con su inscripción, el registrador cancelará el anterior e informará de inmediato y por escrito al juez que adelanta el proceso de familia, quien, en caso de haberse practicado el secuestro, remitirá al juzgado donde se sigue el ejecutivo copia de la diligencia a fin de que tenga efecto en este, y oficiará al secuestre para darle cuenta de lo sucedido. El remanente no embargado en otras ejecuciones y los bienes que en estas se desembarguen, se considerarán embargados para los fines del asunto familiar.</w:t>
      </w:r>
    </w:p>
    <w:p w14:paraId="434B2181"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Ejecutoriada la sentencia que se dicte en los procesos nulidad, divorcio, cesación de los efectos civiles del matrimonio religioso, separación de cuerpos y de bienes, cesará la prelación, por lo que el juez lo comunicará de inmediato al registrador, para que se abstenga de inscribir nuevos embargos, salvo el hipotecario.</w:t>
      </w:r>
    </w:p>
    <w:p w14:paraId="34512722"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3. Las anteriores medidas se mantendrán hasta la ejecutoria de la sentencia; pero si a consecuencia de esta fuere necesario liquidar la sociedad conyugal o patrimonial, continuarán vigentes en el proceso de liquidación.</w:t>
      </w:r>
    </w:p>
    <w:p w14:paraId="285711F4"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Si dentro de los dos (2) meses siguientes a la ejecutoria de la sentencia que disuelva la sociedad conyugal o patrimonial, no se hubiere promovido la liquidación de esta, se levantarán aun de oficio las medidas cautelares.</w:t>
      </w:r>
    </w:p>
    <w:p w14:paraId="2F5885DF"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4. Cualquiera de los cónyuges o compañeros permanentes podrá promover incidente con el propósito de que se levanten las medidas que afecten sus bienes propios.</w:t>
      </w:r>
    </w:p>
    <w:p w14:paraId="721499BF"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5. Si el juez lo considera conveniente, también podrá adoptar, según el caso, las siguientes medidas:</w:t>
      </w:r>
    </w:p>
    <w:p w14:paraId="1B5B1725"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a) Autorizar la residencia separada de los cónyuges, y si estos fueren menores, disponer el depósito en casa de sus padres o de sus parientes más próximos o en la de un tercero.</w:t>
      </w:r>
    </w:p>
    <w:p w14:paraId="1093A981"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b) Dejar a los hijos al cuidado de uno de los cónyuges o de ambos, o de un tercero.</w:t>
      </w:r>
    </w:p>
    <w:p w14:paraId="0BDA8326"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c) Señalar la cantidad con que cada cónyuge deba contribuir, según su capacidad económica, para gastos de habitación y sostenimiento del otro cónyuge y de los hijos comunes, y la educación de estos.</w:t>
      </w:r>
    </w:p>
    <w:p w14:paraId="58E5EEA4"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d) Decretar, en caso de que la mujer esté embarazada, las medidas previstas por la ley para evitar suposición de parto.</w:t>
      </w:r>
    </w:p>
    <w:p w14:paraId="0800FF5E"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e) Decretar, a petición de parte, el embargo y secuestro de los bienes sociales y los propios, con el fin de garantizar el pago de alimentos a que el cónyuge y los hijos tuvieren derecho, si fuere el caso.</w:t>
      </w:r>
    </w:p>
    <w:p w14:paraId="2951814E"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f) A criterio del juez cualquier otra medida necesaria para evitar que se produzcan nuevos actos de violencia intrafamiliar o para hacer cesar sus efectos y, en general, en los asuntos de familia, podrá actuar de oficio en la adopción de las medidas personales de protección que requiera la pareja, el niño, niña o adolescente, el discapacitado mental y la persona de la tercera edad; para tal fin, podrá decretar y practicar las pruebas que estime pertinentes, incluyendo las declaraciones del niño, niña o adolescente.</w:t>
      </w:r>
    </w:p>
    <w:p w14:paraId="36DA641B" w14:textId="77777777" w:rsidR="00E720C9" w:rsidRPr="00340AE5" w:rsidRDefault="00E720C9" w:rsidP="00E720C9">
      <w:pPr>
        <w:spacing w:before="180" w:after="180" w:line="276" w:lineRule="auto"/>
        <w:jc w:val="both"/>
        <w:rPr>
          <w:rFonts w:ascii="Gadugi" w:eastAsia="Century Gothic" w:hAnsi="Gadugi" w:cs="Century Gothic"/>
          <w:sz w:val="22"/>
          <w:szCs w:val="22"/>
        </w:rPr>
      </w:pPr>
      <w:r w:rsidRPr="00340AE5">
        <w:rPr>
          <w:rFonts w:ascii="Gadugi" w:eastAsia="Century Gothic" w:hAnsi="Gadugi" w:cs="Century Gothic"/>
          <w:sz w:val="22"/>
          <w:szCs w:val="22"/>
        </w:rPr>
        <w:t>6. En el proceso de alimentos se decretará la medida cautelar prevista en el literal c) del numeral 5 y se dará aviso a las autoridades de emigración para que el demandado no pueda ausentarse del país sin prestar garantía suficiente que respalde el cumplimiento de la obligación hasta por dos (2) años.</w:t>
      </w:r>
    </w:p>
    <w:p w14:paraId="03FB9431" w14:textId="77777777" w:rsidR="00DD577D" w:rsidRPr="00340AE5" w:rsidRDefault="00DD577D" w:rsidP="00E720C9">
      <w:pPr>
        <w:jc w:val="both"/>
        <w:rPr>
          <w:rFonts w:ascii="Gadugi" w:eastAsia="Century Gothic" w:hAnsi="Gadugi" w:cs="Century Gothic"/>
          <w:b/>
          <w:sz w:val="22"/>
          <w:szCs w:val="22"/>
        </w:rPr>
      </w:pPr>
    </w:p>
    <w:p w14:paraId="57C7D2B0" w14:textId="6590EDB1" w:rsidR="00E720C9" w:rsidRPr="00340AE5" w:rsidRDefault="00E720C9" w:rsidP="00E720C9">
      <w:pPr>
        <w:jc w:val="both"/>
        <w:rPr>
          <w:rFonts w:ascii="Gadugi" w:hAnsi="Gadugi"/>
          <w:sz w:val="22"/>
          <w:szCs w:val="22"/>
          <w:lang w:eastAsia="es-CO"/>
        </w:rPr>
      </w:pPr>
      <w:r w:rsidRPr="00340AE5">
        <w:rPr>
          <w:rFonts w:ascii="Gadugi" w:eastAsia="Century Gothic" w:hAnsi="Gadugi" w:cs="Century Gothic"/>
          <w:b/>
          <w:sz w:val="22"/>
          <w:szCs w:val="22"/>
        </w:rPr>
        <w:t>Artículo 11.</w:t>
      </w:r>
      <w:r w:rsidRPr="00340AE5">
        <w:rPr>
          <w:rFonts w:ascii="Gadugi" w:hAnsi="Gadugi"/>
          <w:sz w:val="22"/>
          <w:szCs w:val="22"/>
          <w:lang w:eastAsia="es-CO"/>
        </w:rPr>
        <w:t xml:space="preserve"> </w:t>
      </w:r>
      <w:r w:rsidRPr="00340AE5">
        <w:rPr>
          <w:rFonts w:ascii="Gadugi" w:hAnsi="Gadugi"/>
          <w:b/>
          <w:sz w:val="22"/>
          <w:szCs w:val="22"/>
          <w:lang w:eastAsia="es-CO"/>
        </w:rPr>
        <w:t>Principio de reparación integral de perjuicios por violencias basadas en género y otras violencias en el contexto familiar en procesos de divorcio por mutuo acuerdo ante notario.</w:t>
      </w:r>
      <w:r w:rsidRPr="00340AE5">
        <w:rPr>
          <w:rFonts w:ascii="Gadugi" w:hAnsi="Gadugi"/>
          <w:sz w:val="22"/>
          <w:szCs w:val="22"/>
          <w:lang w:eastAsia="es-CO"/>
        </w:rPr>
        <w:t xml:space="preserve"> En procesos de divorcio por mutuo acuerdo ante notario, las partes podrán fijar la reparación integral de perjuicios por violencias basadas en género y otras violencias en el contexto familiar.</w:t>
      </w:r>
    </w:p>
    <w:p w14:paraId="27EA8F2B" w14:textId="18462D5F" w:rsidR="00E720C9" w:rsidRPr="00340AE5" w:rsidRDefault="00E720C9" w:rsidP="00E720C9">
      <w:pPr>
        <w:jc w:val="both"/>
        <w:rPr>
          <w:rFonts w:ascii="Gadugi" w:eastAsia="Century Gothic" w:hAnsi="Gadugi" w:cs="Century Gothic"/>
          <w:b/>
          <w:sz w:val="22"/>
          <w:szCs w:val="22"/>
        </w:rPr>
      </w:pPr>
    </w:p>
    <w:p w14:paraId="4CE8AD00" w14:textId="47EB89B8" w:rsidR="00552271" w:rsidRDefault="00DD577D" w:rsidP="00E720C9">
      <w:pPr>
        <w:jc w:val="both"/>
        <w:rPr>
          <w:rFonts w:ascii="Gadugi" w:eastAsia="Century Gothic" w:hAnsi="Gadugi" w:cs="Century Gothic"/>
          <w:sz w:val="22"/>
          <w:szCs w:val="22"/>
        </w:rPr>
      </w:pPr>
      <w:r w:rsidRPr="00340AE5">
        <w:rPr>
          <w:rFonts w:ascii="Gadugi" w:eastAsia="Century Gothic" w:hAnsi="Gadugi" w:cs="Century Gothic"/>
          <w:b/>
          <w:sz w:val="22"/>
          <w:szCs w:val="22"/>
        </w:rPr>
        <w:br/>
      </w:r>
      <w:r w:rsidR="00E720C9" w:rsidRPr="00340AE5">
        <w:rPr>
          <w:rFonts w:ascii="Gadugi" w:eastAsia="Century Gothic" w:hAnsi="Gadugi" w:cs="Century Gothic"/>
          <w:b/>
          <w:sz w:val="22"/>
          <w:szCs w:val="22"/>
        </w:rPr>
        <w:t xml:space="preserve">Artículo 12. Vigencia. </w:t>
      </w:r>
      <w:r w:rsidR="00E720C9" w:rsidRPr="00340AE5">
        <w:rPr>
          <w:rFonts w:ascii="Gadugi" w:eastAsia="Century Gothic" w:hAnsi="Gadugi" w:cs="Century Gothic"/>
          <w:sz w:val="22"/>
          <w:szCs w:val="22"/>
        </w:rPr>
        <w:t xml:space="preserve">La presente ley entrará en vigencia seis (6) meses después de su promulgación </w:t>
      </w:r>
      <w:r w:rsidRPr="00340AE5">
        <w:rPr>
          <w:rFonts w:ascii="Gadugi" w:eastAsia="Century Gothic" w:hAnsi="Gadugi" w:cs="Century Gothic"/>
          <w:sz w:val="22"/>
          <w:szCs w:val="22"/>
        </w:rPr>
        <w:t xml:space="preserve">y publicación en el Diario Oficial </w:t>
      </w:r>
      <w:r w:rsidR="00E720C9" w:rsidRPr="00340AE5">
        <w:rPr>
          <w:rFonts w:ascii="Gadugi" w:eastAsia="Century Gothic" w:hAnsi="Gadugi" w:cs="Century Gothic"/>
          <w:sz w:val="22"/>
          <w:szCs w:val="22"/>
        </w:rPr>
        <w:t>y deroga todas las normas que le sean contrarias.</w:t>
      </w:r>
    </w:p>
    <w:p w14:paraId="320F43E4" w14:textId="52A43C6C" w:rsidR="00340AE5" w:rsidRDefault="00340AE5" w:rsidP="00E720C9">
      <w:pPr>
        <w:jc w:val="both"/>
        <w:rPr>
          <w:rFonts w:ascii="Gadugi" w:eastAsia="Century Gothic" w:hAnsi="Gadugi" w:cs="Century Gothic"/>
          <w:sz w:val="22"/>
          <w:szCs w:val="22"/>
        </w:rPr>
      </w:pPr>
    </w:p>
    <w:p w14:paraId="2ED390A2" w14:textId="77777777" w:rsidR="00340AE5" w:rsidRPr="00D2146A" w:rsidRDefault="00340AE5" w:rsidP="00340AE5">
      <w:pPr>
        <w:tabs>
          <w:tab w:val="right" w:pos="8838"/>
        </w:tabs>
        <w:rPr>
          <w:rFonts w:ascii="Gadugi" w:eastAsia="Century Gothic" w:hAnsi="Gadugi" w:cs="Century Gothic"/>
          <w:b/>
          <w:sz w:val="22"/>
          <w:szCs w:val="22"/>
        </w:rPr>
      </w:pPr>
    </w:p>
    <w:p w14:paraId="056058F1" w14:textId="77777777" w:rsidR="00340AE5" w:rsidRPr="00D2146A" w:rsidRDefault="00340AE5" w:rsidP="00340AE5">
      <w:pPr>
        <w:tabs>
          <w:tab w:val="right" w:pos="8838"/>
        </w:tabs>
        <w:rPr>
          <w:rFonts w:ascii="Gadugi" w:eastAsia="Century Gothic" w:hAnsi="Gadugi" w:cs="Century Gothic"/>
          <w:b/>
          <w:sz w:val="22"/>
          <w:szCs w:val="22"/>
        </w:rPr>
      </w:pPr>
      <w:r w:rsidRPr="00D2146A">
        <w:rPr>
          <w:rFonts w:ascii="Gadugi" w:eastAsia="Century Gothic" w:hAnsi="Gadugi" w:cs="Century Gothic"/>
          <w:b/>
          <w:sz w:val="22"/>
          <w:szCs w:val="22"/>
        </w:rPr>
        <w:t>__________________________________________________</w:t>
      </w:r>
    </w:p>
    <w:p w14:paraId="5C40D0F8" w14:textId="77777777" w:rsidR="00340AE5" w:rsidRPr="00D2146A" w:rsidRDefault="00340AE5" w:rsidP="00340AE5">
      <w:pPr>
        <w:tabs>
          <w:tab w:val="right" w:pos="8838"/>
        </w:tabs>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DELCY ESPERANZA ISAZA BUENAVENTURA</w:t>
      </w:r>
    </w:p>
    <w:p w14:paraId="3D9D9582" w14:textId="77777777" w:rsidR="00340AE5" w:rsidRPr="00D2146A" w:rsidRDefault="00340AE5" w:rsidP="00340AE5">
      <w:pPr>
        <w:tabs>
          <w:tab w:val="right" w:pos="8838"/>
        </w:tabs>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Representante a la Cámara por el Tolima</w:t>
      </w:r>
      <w:r w:rsidRPr="00D2146A">
        <w:rPr>
          <w:rFonts w:ascii="Gadugi" w:eastAsia="Century Gothic" w:hAnsi="Gadugi" w:cs="Century Gothic"/>
          <w:color w:val="000000"/>
          <w:sz w:val="22"/>
          <w:szCs w:val="22"/>
        </w:rPr>
        <w:br/>
        <w:t>Partido Conservador</w:t>
      </w:r>
    </w:p>
    <w:p w14:paraId="617D66C7" w14:textId="77777777" w:rsidR="00340AE5" w:rsidRPr="00D2146A" w:rsidRDefault="00340AE5" w:rsidP="00340AE5">
      <w:pPr>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Ponente.</w:t>
      </w:r>
    </w:p>
    <w:p w14:paraId="01AEE9D5" w14:textId="77777777" w:rsidR="00340AE5" w:rsidRPr="00340AE5" w:rsidRDefault="00340AE5" w:rsidP="00E720C9">
      <w:pPr>
        <w:jc w:val="both"/>
        <w:rPr>
          <w:rFonts w:ascii="Gadugi" w:eastAsia="Century Gothic" w:hAnsi="Gadugi" w:cs="Century Gothic"/>
          <w:sz w:val="22"/>
          <w:szCs w:val="22"/>
        </w:rPr>
      </w:pPr>
      <w:bookmarkStart w:id="74" w:name="_GoBack"/>
      <w:bookmarkEnd w:id="74"/>
    </w:p>
    <w:sectPr w:rsidR="00340AE5" w:rsidRPr="00340AE5" w:rsidSect="00776625">
      <w:headerReference w:type="default" r:id="rId14"/>
      <w:footerReference w:type="default" r:id="rId15"/>
      <w:pgSz w:w="12242" w:h="18722" w:code="119"/>
      <w:pgMar w:top="1417" w:right="1701" w:bottom="1417" w:left="1701" w:header="454" w:footer="604" w:gutter="0"/>
      <w:pgBorders w:offsetFrom="page">
        <w:top w:val="single" w:sz="2" w:space="24" w:color="auto"/>
        <w:left w:val="single" w:sz="2" w:space="24" w:color="auto"/>
        <w:bottom w:val="single" w:sz="2" w:space="24" w:color="auto"/>
        <w:right w:val="single" w:sz="2"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7A47" w14:textId="77777777" w:rsidR="00B1498B" w:rsidRDefault="00B1498B">
      <w:r>
        <w:separator/>
      </w:r>
    </w:p>
  </w:endnote>
  <w:endnote w:type="continuationSeparator" w:id="0">
    <w:p w14:paraId="6CBC9102" w14:textId="77777777" w:rsidR="00B1498B" w:rsidRDefault="00B1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4949"/>
      <w:docPartObj>
        <w:docPartGallery w:val="Page Numbers (Bottom of Page)"/>
        <w:docPartUnique/>
      </w:docPartObj>
    </w:sdtPr>
    <w:sdtEndPr/>
    <w:sdtContent>
      <w:p w14:paraId="3BBB9E49" w14:textId="40F71AB8" w:rsidR="00DE0D0E" w:rsidRDefault="00DE0D0E">
        <w:pPr>
          <w:pStyle w:val="Piedepgina"/>
          <w:jc w:val="right"/>
        </w:pPr>
        <w:r>
          <w:fldChar w:fldCharType="begin"/>
        </w:r>
        <w:r>
          <w:instrText>PAGE   \* MERGEFORMAT</w:instrText>
        </w:r>
        <w:r>
          <w:fldChar w:fldCharType="separate"/>
        </w:r>
        <w:r w:rsidR="00FD581F" w:rsidRPr="00FD581F">
          <w:rPr>
            <w:noProof/>
            <w:lang w:val="es-ES"/>
          </w:rPr>
          <w:t>38</w:t>
        </w:r>
        <w:r>
          <w:fldChar w:fldCharType="end"/>
        </w:r>
      </w:p>
    </w:sdtContent>
  </w:sdt>
  <w:p w14:paraId="27B4251F" w14:textId="77777777" w:rsidR="003F2C4A" w:rsidRDefault="003F2C4A" w:rsidP="00A72A7B">
    <w:pPr>
      <w:pBdr>
        <w:top w:val="nil"/>
        <w:left w:val="nil"/>
        <w:bottom w:val="nil"/>
        <w:right w:val="nil"/>
        <w:between w:val="nil"/>
      </w:pBdr>
      <w:tabs>
        <w:tab w:val="center" w:pos="4252"/>
        <w:tab w:val="right" w:pos="8504"/>
      </w:tabs>
      <w:jc w:val="center"/>
      <w:rPr>
        <w:rFonts w:ascii="Arial" w:eastAsia="Arial" w:hAnsi="Arial" w:cs="Arial"/>
        <w:b/>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1B22D" w14:textId="77777777" w:rsidR="00B1498B" w:rsidRDefault="00B1498B">
      <w:r>
        <w:separator/>
      </w:r>
    </w:p>
  </w:footnote>
  <w:footnote w:type="continuationSeparator" w:id="0">
    <w:p w14:paraId="683517F3" w14:textId="77777777" w:rsidR="00B1498B" w:rsidRDefault="00B1498B">
      <w:r>
        <w:continuationSeparator/>
      </w:r>
    </w:p>
  </w:footnote>
  <w:footnote w:id="1">
    <w:p w14:paraId="257541F4" w14:textId="77777777" w:rsidR="003F2C4A" w:rsidRDefault="003F2C4A">
      <w:pPr>
        <w:rPr>
          <w:rFonts w:ascii="Arial" w:eastAsia="Arial" w:hAnsi="Arial" w:cs="Arial"/>
          <w:sz w:val="18"/>
          <w:szCs w:val="18"/>
        </w:rPr>
      </w:pPr>
      <w:r>
        <w:rPr>
          <w:rStyle w:val="Refdenotaalpie"/>
          <w:vertAlign w:val="superscript"/>
        </w:rPr>
        <w:footnoteRef/>
      </w:r>
      <w:r w:rsidRPr="00F5468B">
        <w:rPr>
          <w:rFonts w:ascii="Arial" w:eastAsia="Arial" w:hAnsi="Arial" w:cs="Arial"/>
          <w:sz w:val="18"/>
          <w:szCs w:val="18"/>
          <w:lang w:val="en-US"/>
        </w:rPr>
        <w:t xml:space="preserve"> The Global Health Observatory. “Intimate partner violence prevalence”. </w:t>
      </w:r>
      <w:hyperlink r:id="rId1">
        <w:r>
          <w:rPr>
            <w:rFonts w:ascii="Arial" w:eastAsia="Arial" w:hAnsi="Arial" w:cs="Arial"/>
            <w:color w:val="1155CC"/>
            <w:sz w:val="18"/>
            <w:szCs w:val="18"/>
            <w:u w:val="single"/>
          </w:rPr>
          <w:t>https://www.who.int/data/gho/data/indicators/indicator-details/GHO/intimate-partner-violence-lifetime</w:t>
        </w:r>
      </w:hyperlink>
      <w:r>
        <w:rPr>
          <w:rFonts w:ascii="Arial" w:eastAsia="Arial" w:hAnsi="Arial" w:cs="Arial"/>
          <w:sz w:val="18"/>
          <w:szCs w:val="18"/>
        </w:rPr>
        <w:t xml:space="preserve"> </w:t>
      </w:r>
    </w:p>
  </w:footnote>
  <w:footnote w:id="2">
    <w:p w14:paraId="1E6FF4D3" w14:textId="77777777" w:rsidR="003F2C4A" w:rsidRDefault="003F2C4A">
      <w:pPr>
        <w:jc w:val="both"/>
        <w:rPr>
          <w:sz w:val="18"/>
          <w:szCs w:val="18"/>
        </w:rPr>
      </w:pPr>
      <w:r>
        <w:rPr>
          <w:rStyle w:val="Refdenotaalpie"/>
          <w:vertAlign w:val="superscript"/>
        </w:rPr>
        <w:footnoteRef/>
      </w:r>
      <w:r>
        <w:rPr>
          <w:sz w:val="18"/>
          <w:szCs w:val="18"/>
        </w:rPr>
        <w:t xml:space="preserve"> </w:t>
      </w:r>
      <w:r>
        <w:rPr>
          <w:rFonts w:ascii="Arial" w:eastAsia="Arial" w:hAnsi="Arial" w:cs="Arial"/>
          <w:sz w:val="18"/>
          <w:szCs w:val="18"/>
        </w:rPr>
        <w:t xml:space="preserve">Restrepo-Betancur, Luis Fernando. (2023). Violencia intrafamiliar en Colombia en los últimos doce años. </w:t>
      </w:r>
      <w:r>
        <w:rPr>
          <w:rFonts w:ascii="Arial" w:eastAsia="Arial" w:hAnsi="Arial" w:cs="Arial"/>
          <w:i/>
          <w:sz w:val="18"/>
          <w:szCs w:val="18"/>
        </w:rPr>
        <w:t>El Ágora U.S.B.</w:t>
      </w:r>
      <w:r>
        <w:rPr>
          <w:rFonts w:ascii="Arial" w:eastAsia="Arial" w:hAnsi="Arial" w:cs="Arial"/>
          <w:sz w:val="18"/>
          <w:szCs w:val="18"/>
        </w:rPr>
        <w:t xml:space="preserve">, </w:t>
      </w:r>
      <w:r>
        <w:rPr>
          <w:rFonts w:ascii="Arial" w:eastAsia="Arial" w:hAnsi="Arial" w:cs="Arial"/>
          <w:i/>
          <w:sz w:val="18"/>
          <w:szCs w:val="18"/>
        </w:rPr>
        <w:t>23</w:t>
      </w:r>
      <w:r>
        <w:rPr>
          <w:rFonts w:ascii="Arial" w:eastAsia="Arial" w:hAnsi="Arial" w:cs="Arial"/>
          <w:sz w:val="18"/>
          <w:szCs w:val="18"/>
        </w:rPr>
        <w:t xml:space="preserve">(1), 154-165. </w:t>
      </w:r>
      <w:proofErr w:type="spellStart"/>
      <w:r>
        <w:rPr>
          <w:rFonts w:ascii="Arial" w:eastAsia="Arial" w:hAnsi="Arial" w:cs="Arial"/>
          <w:sz w:val="18"/>
          <w:szCs w:val="18"/>
        </w:rPr>
        <w:t>Epub</w:t>
      </w:r>
      <w:proofErr w:type="spellEnd"/>
      <w:r>
        <w:rPr>
          <w:rFonts w:ascii="Arial" w:eastAsia="Arial" w:hAnsi="Arial" w:cs="Arial"/>
          <w:sz w:val="18"/>
          <w:szCs w:val="18"/>
        </w:rPr>
        <w:t xml:space="preserve"> </w:t>
      </w:r>
      <w:proofErr w:type="spellStart"/>
      <w:r>
        <w:rPr>
          <w:rFonts w:ascii="Arial" w:eastAsia="Arial" w:hAnsi="Arial" w:cs="Arial"/>
          <w:sz w:val="18"/>
          <w:szCs w:val="18"/>
        </w:rPr>
        <w:t>October</w:t>
      </w:r>
      <w:proofErr w:type="spellEnd"/>
      <w:r>
        <w:rPr>
          <w:rFonts w:ascii="Arial" w:eastAsia="Arial" w:hAnsi="Arial" w:cs="Arial"/>
          <w:sz w:val="18"/>
          <w:szCs w:val="18"/>
        </w:rPr>
        <w:t xml:space="preserve"> 08, 2023.</w:t>
      </w:r>
      <w:hyperlink r:id="rId2">
        <w:r>
          <w:rPr>
            <w:rFonts w:ascii="Arial" w:eastAsia="Arial" w:hAnsi="Arial" w:cs="Arial"/>
            <w:color w:val="555555"/>
            <w:sz w:val="18"/>
            <w:szCs w:val="18"/>
          </w:rPr>
          <w:t>https://doi.org/10.21500/16578031.6040</w:t>
        </w:r>
      </w:hyperlink>
    </w:p>
  </w:footnote>
  <w:footnote w:id="3">
    <w:p w14:paraId="48100B8F" w14:textId="77777777" w:rsidR="003F2C4A" w:rsidRDefault="003F2C4A">
      <w:pPr>
        <w:jc w:val="both"/>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Ministerio de Salud. ​​​​​​​​​​​​​​​​​​​​​​​​​​​​​​​​​​​​​​​​​​​​​Observatorio Nacional de Violencias de Género. </w:t>
      </w:r>
      <w:hyperlink r:id="rId3">
        <w:r>
          <w:rPr>
            <w:rFonts w:ascii="Arial" w:eastAsia="Arial" w:hAnsi="Arial" w:cs="Arial"/>
            <w:color w:val="1155CC"/>
            <w:sz w:val="18"/>
            <w:szCs w:val="18"/>
            <w:u w:val="single"/>
          </w:rPr>
          <w:t>https://www.sispro.gov.co/observatorios/onviolenciasgenero/Paginas/home.aspx</w:t>
        </w:r>
      </w:hyperlink>
      <w:r>
        <w:rPr>
          <w:rFonts w:ascii="Arial" w:eastAsia="Arial" w:hAnsi="Arial" w:cs="Arial"/>
          <w:sz w:val="18"/>
          <w:szCs w:val="18"/>
        </w:rPr>
        <w:t xml:space="preserve"> Fecha de acceso: 09/07/2024</w:t>
      </w:r>
    </w:p>
  </w:footnote>
  <w:footnote w:id="4">
    <w:p w14:paraId="2A983CAD"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5">
    <w:p w14:paraId="2D5C7684"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6">
    <w:p w14:paraId="4F3B6C3C" w14:textId="307BA74C" w:rsidR="003F2C4A" w:rsidRDefault="003F2C4A">
      <w:pPr>
        <w:jc w:val="both"/>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Corporación Sisma </w:t>
      </w:r>
      <w:r w:rsidR="00207D91">
        <w:rPr>
          <w:rFonts w:ascii="Arial" w:eastAsia="Arial" w:hAnsi="Arial" w:cs="Arial"/>
          <w:sz w:val="18"/>
          <w:szCs w:val="18"/>
        </w:rPr>
        <w:t>Mujer. (</w:t>
      </w:r>
      <w:r>
        <w:rPr>
          <w:rFonts w:ascii="Arial" w:eastAsia="Arial" w:hAnsi="Arial" w:cs="Arial"/>
          <w:sz w:val="18"/>
          <w:szCs w:val="18"/>
        </w:rPr>
        <w:t xml:space="preserve">2020). Boletín Especial No. 23. </w:t>
      </w:r>
      <w:hyperlink r:id="rId4">
        <w:r>
          <w:rPr>
            <w:rFonts w:ascii="Arial" w:eastAsia="Arial" w:hAnsi="Arial" w:cs="Arial"/>
            <w:color w:val="1155CC"/>
            <w:sz w:val="18"/>
            <w:szCs w:val="18"/>
            <w:u w:val="single"/>
          </w:rPr>
          <w:t>https://www.sismamujer.org/wp-content/uploads/2021/08/27-11-2020-Derechos-de-las-Mujeres-y-COVID-19_-Sisma-Mujer.pdf</w:t>
        </w:r>
      </w:hyperlink>
      <w:r>
        <w:rPr>
          <w:rFonts w:ascii="Arial" w:eastAsia="Arial" w:hAnsi="Arial" w:cs="Arial"/>
          <w:sz w:val="18"/>
          <w:szCs w:val="18"/>
        </w:rPr>
        <w:t xml:space="preserve"> </w:t>
      </w:r>
    </w:p>
  </w:footnote>
  <w:footnote w:id="7">
    <w:p w14:paraId="35B4222C" w14:textId="3D933FC2" w:rsidR="003F2C4A" w:rsidRDefault="003F2C4A">
      <w:pPr>
        <w:rPr>
          <w:sz w:val="20"/>
          <w:szCs w:val="20"/>
        </w:rPr>
      </w:pPr>
      <w:r>
        <w:rPr>
          <w:rStyle w:val="Refdenotaalpie"/>
          <w:vertAlign w:val="superscript"/>
        </w:rPr>
        <w:footnoteRef/>
      </w:r>
      <w:r>
        <w:rPr>
          <w:sz w:val="20"/>
          <w:szCs w:val="20"/>
        </w:rPr>
        <w:t xml:space="preserve"> Observatorio Colombiano de Feminicidios - </w:t>
      </w:r>
      <w:proofErr w:type="gramStart"/>
      <w:r>
        <w:rPr>
          <w:sz w:val="20"/>
          <w:szCs w:val="20"/>
        </w:rPr>
        <w:t>Junio</w:t>
      </w:r>
      <w:proofErr w:type="gramEnd"/>
      <w:r>
        <w:rPr>
          <w:sz w:val="20"/>
          <w:szCs w:val="20"/>
        </w:rPr>
        <w:t xml:space="preserve"> 2024.</w:t>
      </w:r>
      <w:r w:rsidR="00075623">
        <w:rPr>
          <w:sz w:val="20"/>
          <w:szCs w:val="20"/>
        </w:rPr>
        <w:t xml:space="preserve"> h</w:t>
      </w:r>
      <w:r>
        <w:rPr>
          <w:sz w:val="20"/>
          <w:szCs w:val="20"/>
        </w:rPr>
        <w:t>ttps://www.observatoriofeminicidioscolombia.org/reportes</w:t>
      </w:r>
    </w:p>
  </w:footnote>
  <w:footnote w:id="8">
    <w:p w14:paraId="5A8FCCCC"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9">
    <w:p w14:paraId="59B08DA4" w14:textId="77777777" w:rsidR="003F2C4A" w:rsidRPr="00F5468B" w:rsidRDefault="003F2C4A" w:rsidP="00DE0D0E">
      <w:pPr>
        <w:jc w:val="both"/>
        <w:rPr>
          <w:rFonts w:ascii="Arial" w:eastAsia="Arial" w:hAnsi="Arial" w:cs="Arial"/>
          <w:sz w:val="18"/>
          <w:szCs w:val="18"/>
          <w:lang w:val="en-US"/>
        </w:rPr>
      </w:pPr>
      <w:r>
        <w:rPr>
          <w:rStyle w:val="Refdenotaalpie"/>
          <w:vertAlign w:val="superscript"/>
        </w:rPr>
        <w:footnoteRef/>
      </w:r>
      <w:r>
        <w:rPr>
          <w:rFonts w:ascii="Arial" w:eastAsia="Arial" w:hAnsi="Arial" w:cs="Arial"/>
          <w:sz w:val="18"/>
          <w:szCs w:val="18"/>
        </w:rPr>
        <w:t xml:space="preserve"> Medicina Legal (2024). Boletín estadístico mensual. Grupo Centro de Referencia Nacional sobre Violencia - </w:t>
      </w:r>
      <w:proofErr w:type="gramStart"/>
      <w:r>
        <w:rPr>
          <w:rFonts w:ascii="Arial" w:eastAsia="Arial" w:hAnsi="Arial" w:cs="Arial"/>
          <w:sz w:val="18"/>
          <w:szCs w:val="18"/>
        </w:rPr>
        <w:t>Abril</w:t>
      </w:r>
      <w:proofErr w:type="gramEnd"/>
      <w:r>
        <w:rPr>
          <w:rFonts w:ascii="Arial" w:eastAsia="Arial" w:hAnsi="Arial" w:cs="Arial"/>
          <w:sz w:val="18"/>
          <w:szCs w:val="18"/>
        </w:rPr>
        <w:t xml:space="preserve"> 2024. </w:t>
      </w:r>
      <w:hyperlink r:id="rId5">
        <w:r w:rsidRPr="00F5468B">
          <w:rPr>
            <w:rFonts w:ascii="Arial" w:eastAsia="Arial" w:hAnsi="Arial" w:cs="Arial"/>
            <w:color w:val="1155CC"/>
            <w:sz w:val="18"/>
            <w:szCs w:val="18"/>
            <w:u w:val="single"/>
            <w:lang w:val="en-US"/>
          </w:rPr>
          <w:t>https://www.medicinalegal.gov.co/documents/20143/1003294/Boletin_abril_2024.pdf</w:t>
        </w:r>
      </w:hyperlink>
      <w:r w:rsidRPr="00F5468B">
        <w:rPr>
          <w:rFonts w:ascii="Arial" w:eastAsia="Arial" w:hAnsi="Arial" w:cs="Arial"/>
          <w:sz w:val="18"/>
          <w:szCs w:val="18"/>
          <w:lang w:val="en-US"/>
        </w:rPr>
        <w:t xml:space="preserve"> </w:t>
      </w:r>
    </w:p>
  </w:footnote>
  <w:footnote w:id="10">
    <w:p w14:paraId="6536BD1E" w14:textId="77777777" w:rsidR="003F2C4A" w:rsidRPr="00F5468B" w:rsidRDefault="003F2C4A" w:rsidP="00DE0D0E">
      <w:pPr>
        <w:jc w:val="both"/>
        <w:rPr>
          <w:sz w:val="20"/>
          <w:szCs w:val="20"/>
          <w:lang w:val="en-US"/>
        </w:rPr>
      </w:pPr>
      <w:r>
        <w:rPr>
          <w:rStyle w:val="Refdenotaalpie"/>
          <w:vertAlign w:val="superscript"/>
        </w:rPr>
        <w:footnoteRef/>
      </w:r>
      <w:r w:rsidRPr="00F5468B">
        <w:rPr>
          <w:b/>
          <w:sz w:val="20"/>
          <w:szCs w:val="20"/>
          <w:lang w:val="en-US"/>
        </w:rPr>
        <w:t xml:space="preserve"> Sanders, C. K.</w:t>
      </w:r>
      <w:r w:rsidRPr="00F5468B">
        <w:rPr>
          <w:sz w:val="20"/>
          <w:szCs w:val="20"/>
          <w:lang w:val="en-US"/>
        </w:rPr>
        <w:t xml:space="preserve"> (2015). Economic Abuse in the Lives of Women Abused by an Intimate Partner: A Qualitative Study. Violence </w:t>
      </w:r>
      <w:proofErr w:type="gramStart"/>
      <w:r w:rsidRPr="00F5468B">
        <w:rPr>
          <w:sz w:val="20"/>
          <w:szCs w:val="20"/>
          <w:lang w:val="en-US"/>
        </w:rPr>
        <w:t>Against</w:t>
      </w:r>
      <w:proofErr w:type="gramEnd"/>
      <w:r w:rsidRPr="00F5468B">
        <w:rPr>
          <w:sz w:val="20"/>
          <w:szCs w:val="20"/>
          <w:lang w:val="en-US"/>
        </w:rPr>
        <w:t xml:space="preserve"> Women, 21(1), 3-29. </w:t>
      </w:r>
      <w:hyperlink r:id="rId6">
        <w:r w:rsidRPr="00F5468B">
          <w:rPr>
            <w:color w:val="1155CC"/>
            <w:sz w:val="20"/>
            <w:szCs w:val="20"/>
            <w:u w:val="single"/>
            <w:lang w:val="en-US"/>
          </w:rPr>
          <w:t>https://doi.org/10.1177/1077801214564167</w:t>
        </w:r>
      </w:hyperlink>
      <w:r w:rsidRPr="00F5468B">
        <w:rPr>
          <w:sz w:val="20"/>
          <w:szCs w:val="20"/>
          <w:lang w:val="en-US"/>
        </w:rPr>
        <w:t xml:space="preserve">; </w:t>
      </w:r>
      <w:proofErr w:type="spellStart"/>
      <w:r w:rsidRPr="00F5468B">
        <w:rPr>
          <w:b/>
          <w:sz w:val="20"/>
          <w:szCs w:val="20"/>
          <w:lang w:val="en-US"/>
        </w:rPr>
        <w:t>Seema</w:t>
      </w:r>
      <w:proofErr w:type="spellEnd"/>
      <w:r w:rsidRPr="00F5468B">
        <w:rPr>
          <w:b/>
          <w:sz w:val="20"/>
          <w:szCs w:val="20"/>
          <w:lang w:val="en-US"/>
        </w:rPr>
        <w:t xml:space="preserve"> Vyas, </w:t>
      </w:r>
      <w:proofErr w:type="gramStart"/>
      <w:r w:rsidRPr="00F5468B">
        <w:rPr>
          <w:b/>
          <w:sz w:val="20"/>
          <w:szCs w:val="20"/>
          <w:lang w:val="en-US"/>
        </w:rPr>
        <w:t>et</w:t>
      </w:r>
      <w:proofErr w:type="gramEnd"/>
      <w:r w:rsidRPr="00F5468B">
        <w:rPr>
          <w:b/>
          <w:sz w:val="20"/>
          <w:szCs w:val="20"/>
          <w:lang w:val="en-US"/>
        </w:rPr>
        <w:t>. al.</w:t>
      </w:r>
      <w:r w:rsidRPr="00F5468B">
        <w:rPr>
          <w:sz w:val="20"/>
          <w:szCs w:val="20"/>
          <w:lang w:val="en-US"/>
        </w:rPr>
        <w:t xml:space="preserve"> (2015). “Exploring the association between women's access to economic resources and intimate partner violence in Dar </w:t>
      </w:r>
      <w:proofErr w:type="spellStart"/>
      <w:r w:rsidRPr="00F5468B">
        <w:rPr>
          <w:sz w:val="20"/>
          <w:szCs w:val="20"/>
          <w:lang w:val="en-US"/>
        </w:rPr>
        <w:t>es</w:t>
      </w:r>
      <w:proofErr w:type="spellEnd"/>
      <w:r w:rsidRPr="00F5468B">
        <w:rPr>
          <w:sz w:val="20"/>
          <w:szCs w:val="20"/>
          <w:lang w:val="en-US"/>
        </w:rPr>
        <w:t xml:space="preserve"> Salaam and Mbeya, Tanzania”. Social Science &amp; Medicine, Volume 146, Pages 307-315, ISSN 0277-9536, </w:t>
      </w:r>
      <w:hyperlink r:id="rId7">
        <w:r w:rsidRPr="00F5468B">
          <w:rPr>
            <w:color w:val="1155CC"/>
            <w:sz w:val="20"/>
            <w:szCs w:val="20"/>
            <w:u w:val="single"/>
            <w:lang w:val="en-US"/>
          </w:rPr>
          <w:t>https://doi.org/10.1016/j.socscimed.2015.10.016</w:t>
        </w:r>
      </w:hyperlink>
      <w:r w:rsidRPr="00F5468B">
        <w:rPr>
          <w:sz w:val="20"/>
          <w:szCs w:val="20"/>
          <w:lang w:val="en-US"/>
        </w:rPr>
        <w:t xml:space="preserve">; </w:t>
      </w:r>
      <w:proofErr w:type="spellStart"/>
      <w:r w:rsidRPr="00F5468B">
        <w:rPr>
          <w:b/>
          <w:sz w:val="20"/>
          <w:szCs w:val="20"/>
          <w:lang w:val="en-US"/>
        </w:rPr>
        <w:t>Michau</w:t>
      </w:r>
      <w:proofErr w:type="spellEnd"/>
      <w:r w:rsidRPr="00F5468B">
        <w:rPr>
          <w:b/>
          <w:sz w:val="20"/>
          <w:szCs w:val="20"/>
          <w:lang w:val="en-US"/>
        </w:rPr>
        <w:t>, Lori, et al.</w:t>
      </w:r>
      <w:r w:rsidRPr="00F5468B">
        <w:rPr>
          <w:sz w:val="20"/>
          <w:szCs w:val="20"/>
          <w:lang w:val="en-US"/>
        </w:rPr>
        <w:t xml:space="preserve"> (2015). Prevention of violence against women and girls: lessons from practice”. The Lancet, Volume 385, Issue 9978, Pages 1672-1684, ISSN 0140-6736, </w:t>
      </w:r>
      <w:hyperlink r:id="rId8">
        <w:r w:rsidRPr="00F5468B">
          <w:rPr>
            <w:color w:val="1155CC"/>
            <w:sz w:val="20"/>
            <w:szCs w:val="20"/>
            <w:u w:val="single"/>
            <w:lang w:val="en-US"/>
          </w:rPr>
          <w:t>https://doi.org/10.1016/S0140-6736(14)61797-9</w:t>
        </w:r>
      </w:hyperlink>
      <w:r w:rsidRPr="00F5468B">
        <w:rPr>
          <w:sz w:val="20"/>
          <w:szCs w:val="20"/>
          <w:lang w:val="en-US"/>
        </w:rPr>
        <w:t xml:space="preserve">. </w:t>
      </w:r>
    </w:p>
  </w:footnote>
  <w:footnote w:id="11">
    <w:p w14:paraId="0002215D" w14:textId="77777777" w:rsidR="003F2C4A" w:rsidRDefault="003F2C4A" w:rsidP="00DE0D0E">
      <w:pPr>
        <w:jc w:val="both"/>
        <w:rPr>
          <w:sz w:val="20"/>
          <w:szCs w:val="20"/>
        </w:rPr>
      </w:pPr>
      <w:r>
        <w:rPr>
          <w:rStyle w:val="Refdenotaalpie"/>
          <w:vertAlign w:val="superscript"/>
        </w:rPr>
        <w:footnoteRef/>
      </w:r>
      <w:r>
        <w:rPr>
          <w:sz w:val="20"/>
          <w:szCs w:val="20"/>
        </w:rPr>
        <w:t xml:space="preserve"> </w:t>
      </w:r>
      <w:proofErr w:type="spellStart"/>
      <w:r>
        <w:rPr>
          <w:sz w:val="20"/>
          <w:szCs w:val="20"/>
        </w:rPr>
        <w:t>Alméras</w:t>
      </w:r>
      <w:proofErr w:type="spellEnd"/>
      <w:r>
        <w:rPr>
          <w:sz w:val="20"/>
          <w:szCs w:val="20"/>
        </w:rPr>
        <w:t xml:space="preserve">, Diane y Calderón, Coral. (2012). “Si no se cuenta, no cuenta”. CEPAL y Naciones Unidas.  Santiago de Chile. </w:t>
      </w:r>
    </w:p>
  </w:footnote>
  <w:footnote w:id="12">
    <w:p w14:paraId="6CC68AC1" w14:textId="58D5C426" w:rsidR="003F2C4A" w:rsidRPr="00F5468B" w:rsidRDefault="003F2C4A">
      <w:pPr>
        <w:rPr>
          <w:sz w:val="20"/>
          <w:szCs w:val="20"/>
          <w:lang w:val="en-US"/>
        </w:rPr>
      </w:pPr>
      <w:r>
        <w:rPr>
          <w:rStyle w:val="Refdenotaalpie"/>
          <w:vertAlign w:val="superscript"/>
        </w:rPr>
        <w:footnoteRef/>
      </w:r>
      <w:r>
        <w:rPr>
          <w:sz w:val="20"/>
          <w:szCs w:val="20"/>
        </w:rPr>
        <w:t xml:space="preserve"> UN </w:t>
      </w:r>
      <w:proofErr w:type="spellStart"/>
      <w:r>
        <w:rPr>
          <w:sz w:val="20"/>
          <w:szCs w:val="20"/>
        </w:rPr>
        <w:t>Women</w:t>
      </w:r>
      <w:proofErr w:type="spellEnd"/>
      <w:r>
        <w:rPr>
          <w:sz w:val="20"/>
          <w:szCs w:val="20"/>
        </w:rPr>
        <w:t xml:space="preserve"> </w:t>
      </w:r>
      <w:r w:rsidR="00207D91">
        <w:rPr>
          <w:sz w:val="20"/>
          <w:szCs w:val="20"/>
        </w:rPr>
        <w:t>Colombia. (</w:t>
      </w:r>
      <w:r>
        <w:rPr>
          <w:sz w:val="20"/>
          <w:szCs w:val="20"/>
        </w:rPr>
        <w:t xml:space="preserve">2022). “MUJERES Y HOMBRES: BRECHAS DE GÉNERO EN COLOMBIA”. </w:t>
      </w:r>
      <w:proofErr w:type="spellStart"/>
      <w:r w:rsidRPr="00F5468B">
        <w:rPr>
          <w:sz w:val="20"/>
          <w:szCs w:val="20"/>
          <w:lang w:val="en-US"/>
        </w:rPr>
        <w:t>Segunda</w:t>
      </w:r>
      <w:proofErr w:type="spellEnd"/>
      <w:r w:rsidRPr="00F5468B">
        <w:rPr>
          <w:sz w:val="20"/>
          <w:szCs w:val="20"/>
          <w:lang w:val="en-US"/>
        </w:rPr>
        <w:t xml:space="preserve"> </w:t>
      </w:r>
      <w:proofErr w:type="spellStart"/>
      <w:r w:rsidRPr="00F5468B">
        <w:rPr>
          <w:sz w:val="20"/>
          <w:szCs w:val="20"/>
          <w:lang w:val="en-US"/>
        </w:rPr>
        <w:t>Edición</w:t>
      </w:r>
      <w:proofErr w:type="spellEnd"/>
      <w:r w:rsidRPr="00F5468B">
        <w:rPr>
          <w:sz w:val="20"/>
          <w:szCs w:val="20"/>
          <w:lang w:val="en-US"/>
        </w:rPr>
        <w:t>. ISBN/ISSN 978-628-95368-0-5.</w:t>
      </w:r>
    </w:p>
  </w:footnote>
  <w:footnote w:id="13">
    <w:p w14:paraId="17C60122" w14:textId="77777777" w:rsidR="003F2C4A" w:rsidRPr="00F5468B" w:rsidRDefault="003F2C4A">
      <w:pPr>
        <w:rPr>
          <w:sz w:val="20"/>
          <w:szCs w:val="20"/>
          <w:lang w:val="en-US"/>
        </w:rPr>
      </w:pPr>
      <w:r>
        <w:rPr>
          <w:rStyle w:val="Refdenotaalpie"/>
          <w:vertAlign w:val="superscript"/>
        </w:rPr>
        <w:footnoteRef/>
      </w:r>
      <w:r w:rsidRPr="00F5468B">
        <w:rPr>
          <w:sz w:val="20"/>
          <w:szCs w:val="20"/>
          <w:lang w:val="en-US"/>
        </w:rPr>
        <w:t xml:space="preserve"> World Health Organization. (2013). Global and regional estimates of violence against women: prevalence and health effects of intimate partner violence and non-partner sexual violence.</w:t>
      </w:r>
    </w:p>
  </w:footnote>
  <w:footnote w:id="14">
    <w:p w14:paraId="22262FB9"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“Artículo 229. Violencia intrafamiliar. El que maltrate física o psicológicamente a cualquier miembro de su núcleo familiar incurrirá, siempre que la conducta no constituya delito sancionado con pena mayor, en prisión de cuatro (4) a ocho (8) años. (...)”</w:t>
      </w:r>
    </w:p>
  </w:footnote>
  <w:footnote w:id="15">
    <w:p w14:paraId="2E0192CA" w14:textId="6FC38EBC" w:rsidR="003F2C4A" w:rsidRDefault="003F2C4A">
      <w:pPr>
        <w:jc w:val="both"/>
        <w:rPr>
          <w:sz w:val="20"/>
          <w:szCs w:val="20"/>
        </w:rPr>
      </w:pPr>
      <w:r>
        <w:rPr>
          <w:rStyle w:val="Refdenotaalpie"/>
          <w:vertAlign w:val="superscript"/>
        </w:rPr>
        <w:footnoteRef/>
      </w:r>
      <w:r>
        <w:rPr>
          <w:sz w:val="20"/>
          <w:szCs w:val="20"/>
        </w:rPr>
        <w:t xml:space="preserve"> La Corte Constitucional ha reconocido, al analizar casos de escrache digital, que los asuntos de </w:t>
      </w:r>
      <w:r w:rsidR="00207D91">
        <w:rPr>
          <w:sz w:val="20"/>
          <w:szCs w:val="20"/>
        </w:rPr>
        <w:t>género</w:t>
      </w:r>
      <w:r>
        <w:rPr>
          <w:sz w:val="20"/>
          <w:szCs w:val="20"/>
        </w:rPr>
        <w:t xml:space="preserve"> y violencia sexual contra las mujeres son de </w:t>
      </w:r>
      <w:r w:rsidR="00207D91">
        <w:rPr>
          <w:sz w:val="20"/>
          <w:szCs w:val="20"/>
        </w:rPr>
        <w:t>interés</w:t>
      </w:r>
      <w:r>
        <w:rPr>
          <w:sz w:val="20"/>
          <w:szCs w:val="20"/>
        </w:rPr>
        <w:t xml:space="preserve"> </w:t>
      </w:r>
      <w:r w:rsidR="00207D91">
        <w:rPr>
          <w:sz w:val="20"/>
          <w:szCs w:val="20"/>
        </w:rPr>
        <w:t>público</w:t>
      </w:r>
      <w:r>
        <w:rPr>
          <w:sz w:val="20"/>
          <w:szCs w:val="20"/>
        </w:rPr>
        <w:t xml:space="preserve">. Es por ello, que los discursos relativos a este tema son especialmente protegidos. (Sentencia T-241 de 2023). </w:t>
      </w:r>
    </w:p>
  </w:footnote>
  <w:footnote w:id="16">
    <w:p w14:paraId="0D692D45" w14:textId="366EDF66" w:rsidR="003F2C4A" w:rsidRDefault="003F2C4A">
      <w:pPr>
        <w:rPr>
          <w:sz w:val="20"/>
          <w:szCs w:val="20"/>
        </w:rPr>
      </w:pPr>
      <w:r>
        <w:rPr>
          <w:rStyle w:val="Refdenotaalpie"/>
          <w:vertAlign w:val="superscript"/>
        </w:rPr>
        <w:footnoteRef/>
      </w:r>
      <w:r>
        <w:rPr>
          <w:sz w:val="20"/>
          <w:szCs w:val="20"/>
        </w:rPr>
        <w:t xml:space="preserve"> ¿Cuánto es el máximo que puede durar un proceso penal en </w:t>
      </w:r>
      <w:r w:rsidR="00207D91">
        <w:rPr>
          <w:sz w:val="20"/>
          <w:szCs w:val="20"/>
        </w:rPr>
        <w:t>Colombia?</w:t>
      </w:r>
      <w:r>
        <w:rPr>
          <w:sz w:val="20"/>
          <w:szCs w:val="20"/>
        </w:rPr>
        <w:t xml:space="preserve"> Disponible en: </w:t>
      </w:r>
      <w:hyperlink r:id="rId9">
        <w:r>
          <w:rPr>
            <w:color w:val="1155CC"/>
            <w:sz w:val="20"/>
            <w:szCs w:val="20"/>
            <w:u w:val="single"/>
          </w:rPr>
          <w:t>https://www.eltiempo.com/justicia/servicios/cuanto-es-lo-maximo-que-puede-durar-un-proceso-penal-en-colombia-777380</w:t>
        </w:r>
      </w:hyperlink>
      <w:r>
        <w:rPr>
          <w:sz w:val="20"/>
          <w:szCs w:val="20"/>
        </w:rPr>
        <w:t xml:space="preserve">  </w:t>
      </w:r>
      <w:hyperlink r:id="rId10">
        <w:r>
          <w:rPr>
            <w:color w:val="1155CC"/>
            <w:sz w:val="20"/>
            <w:szCs w:val="20"/>
            <w:u w:val="single"/>
          </w:rPr>
          <w:t>https://www.eltiempo.com/justicia/servicios/cuanto-es-lo-maximo-que-puede-durar-un-proceso-penal-en-colombia-777380</w:t>
        </w:r>
      </w:hyperlink>
      <w:r>
        <w:rPr>
          <w:sz w:val="20"/>
          <w:szCs w:val="20"/>
        </w:rPr>
        <w:t xml:space="preserve"> </w:t>
      </w:r>
    </w:p>
  </w:footnote>
  <w:footnote w:id="17">
    <w:p w14:paraId="16FA7A66"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Ingresos efectivos corresponde a la demanda nueva de justicia</w:t>
      </w:r>
    </w:p>
  </w:footnote>
  <w:footnote w:id="18">
    <w:p w14:paraId="223655BA"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auto o decisión que pone fin a la instancia</w:t>
      </w:r>
    </w:p>
  </w:footnote>
  <w:footnote w:id="19">
    <w:p w14:paraId="19837CAA"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cantidad de procesos que quedan en el despacho a finalizar el periodo</w:t>
      </w:r>
    </w:p>
  </w:footnote>
  <w:footnote w:id="20">
    <w:p w14:paraId="64525328" w14:textId="190140EE" w:rsidR="003F2C4A" w:rsidRDefault="003F2C4A">
      <w:pPr>
        <w:rPr>
          <w:sz w:val="20"/>
          <w:szCs w:val="20"/>
        </w:rPr>
      </w:pPr>
      <w:r>
        <w:rPr>
          <w:rStyle w:val="Refdenotaalpie"/>
          <w:vertAlign w:val="superscript"/>
        </w:rPr>
        <w:footnoteRef/>
      </w:r>
      <w:r>
        <w:rPr>
          <w:sz w:val="20"/>
          <w:szCs w:val="20"/>
        </w:rPr>
        <w:t xml:space="preserve"> Corte Constitucional, sentencia C-994 de 2004. MP. Jaime Araujo </w:t>
      </w:r>
      <w:r w:rsidR="00207D91">
        <w:rPr>
          <w:sz w:val="20"/>
          <w:szCs w:val="20"/>
        </w:rPr>
        <w:t>Rentería</w:t>
      </w:r>
      <w:r>
        <w:rPr>
          <w:sz w:val="20"/>
          <w:szCs w:val="20"/>
        </w:rPr>
        <w:t xml:space="preserve">. </w:t>
      </w:r>
    </w:p>
  </w:footnote>
  <w:footnote w:id="21">
    <w:p w14:paraId="454D17B9" w14:textId="77777777" w:rsidR="003F2C4A" w:rsidRDefault="003F2C4A">
      <w:pPr>
        <w:rPr>
          <w:sz w:val="20"/>
          <w:szCs w:val="20"/>
        </w:rPr>
      </w:pPr>
      <w:r>
        <w:rPr>
          <w:rStyle w:val="Refdenotaalpie"/>
          <w:vertAlign w:val="superscript"/>
        </w:rPr>
        <w:footnoteRef/>
      </w:r>
      <w:r>
        <w:rPr>
          <w:sz w:val="20"/>
          <w:szCs w:val="20"/>
        </w:rPr>
        <w:t xml:space="preserve">Ortega Pérez, M y Peraza de Aparicio, C.M (2021). Violencia intrafamiliar: la reparación integral como un derecho en el Ecuador. Iuris </w:t>
      </w:r>
      <w:proofErr w:type="spellStart"/>
      <w:r>
        <w:rPr>
          <w:sz w:val="20"/>
          <w:szCs w:val="20"/>
        </w:rPr>
        <w:t>Dictio</w:t>
      </w:r>
      <w:proofErr w:type="spellEnd"/>
      <w:r>
        <w:rPr>
          <w:sz w:val="20"/>
          <w:szCs w:val="20"/>
        </w:rPr>
        <w:t xml:space="preserve"> NO 28 / Diciembre, 2021 / pp. 107-118 e-ISSN 2528-7834 / DOI: </w:t>
      </w:r>
      <w:hyperlink r:id="rId11">
        <w:r>
          <w:rPr>
            <w:color w:val="1155CC"/>
            <w:sz w:val="20"/>
            <w:szCs w:val="20"/>
            <w:u w:val="single"/>
          </w:rPr>
          <w:t>http://dx.doi.org/10.18272/iu.v28i28.2145</w:t>
        </w:r>
      </w:hyperlink>
      <w:r>
        <w:rPr>
          <w:sz w:val="20"/>
          <w:szCs w:val="20"/>
        </w:rPr>
        <w:t xml:space="preserve"> </w:t>
      </w:r>
    </w:p>
  </w:footnote>
  <w:footnote w:id="22">
    <w:p w14:paraId="3993E727" w14:textId="77777777" w:rsidR="003F2C4A" w:rsidRDefault="003F2C4A">
      <w:pPr>
        <w:rPr>
          <w:sz w:val="20"/>
          <w:szCs w:val="20"/>
        </w:rPr>
      </w:pPr>
      <w:r>
        <w:rPr>
          <w:rStyle w:val="Refdenotaalpie"/>
          <w:vertAlign w:val="superscript"/>
        </w:rPr>
        <w:footnoteRef/>
      </w:r>
      <w:r>
        <w:rPr>
          <w:sz w:val="20"/>
          <w:szCs w:val="20"/>
        </w:rPr>
        <w:t xml:space="preserve"> Abad, C. (2020). La dimensión de la reparación integral en la acción de protección. [Tesis de Maestría]. Universidad Andina Simón Bolívar. </w:t>
      </w:r>
      <w:hyperlink r:id="rId12">
        <w:r>
          <w:rPr>
            <w:color w:val="1155CC"/>
            <w:sz w:val="20"/>
            <w:szCs w:val="20"/>
            <w:u w:val="single"/>
          </w:rPr>
          <w:t>https://repositorio.uasb.edu.ec/bitstream/10644/7788/1/T3371-MDC-Abad-La%20dimension.pdf</w:t>
        </w:r>
      </w:hyperlink>
      <w:r>
        <w:rPr>
          <w:sz w:val="20"/>
          <w:szCs w:val="20"/>
        </w:rPr>
        <w:t xml:space="preserve"> </w:t>
      </w:r>
    </w:p>
  </w:footnote>
  <w:footnote w:id="23">
    <w:p w14:paraId="7A179FED" w14:textId="77777777" w:rsidR="003F2C4A" w:rsidRDefault="003F2C4A">
      <w:pPr>
        <w:rPr>
          <w:sz w:val="20"/>
          <w:szCs w:val="20"/>
        </w:rPr>
      </w:pPr>
      <w:r>
        <w:rPr>
          <w:rStyle w:val="Refdenotaalpie"/>
          <w:vertAlign w:val="superscript"/>
        </w:rPr>
        <w:footnoteRef/>
      </w:r>
      <w:r>
        <w:rPr>
          <w:sz w:val="20"/>
          <w:szCs w:val="20"/>
        </w:rPr>
        <w:t xml:space="preserve"> Ortega Pérez, M y Peraza de Aparicio, C.M (2021). Violencia intrafamiliar: la reparación integral como un derecho en el Ecuador. Iuris </w:t>
      </w:r>
      <w:proofErr w:type="spellStart"/>
      <w:r>
        <w:rPr>
          <w:sz w:val="20"/>
          <w:szCs w:val="20"/>
        </w:rPr>
        <w:t>Dictio</w:t>
      </w:r>
      <w:proofErr w:type="spellEnd"/>
      <w:r>
        <w:rPr>
          <w:sz w:val="20"/>
          <w:szCs w:val="20"/>
        </w:rPr>
        <w:t xml:space="preserve"> NO 28 / Diciembre, 2021 / pp. 107-118 e-ISSN 2528-7834 / DOI: </w:t>
      </w:r>
      <w:hyperlink r:id="rId13">
        <w:r>
          <w:rPr>
            <w:color w:val="1155CC"/>
            <w:sz w:val="20"/>
            <w:szCs w:val="20"/>
            <w:u w:val="single"/>
          </w:rPr>
          <w:t>http://dx.doi.org/10.18272/iu.v28i28.2145</w:t>
        </w:r>
      </w:hyperlink>
      <w:r>
        <w:rPr>
          <w:sz w:val="20"/>
          <w:szCs w:val="20"/>
        </w:rPr>
        <w:t xml:space="preserve"> </w:t>
      </w:r>
    </w:p>
  </w:footnote>
  <w:footnote w:id="24">
    <w:p w14:paraId="775F425A" w14:textId="77777777" w:rsidR="003F2C4A" w:rsidRDefault="003F2C4A">
      <w:pPr>
        <w:rPr>
          <w:sz w:val="20"/>
          <w:szCs w:val="20"/>
        </w:rPr>
      </w:pPr>
      <w:r>
        <w:rPr>
          <w:rStyle w:val="Refdenotaalpie"/>
          <w:vertAlign w:val="superscript"/>
        </w:rPr>
        <w:footnoteRef/>
      </w:r>
      <w:r>
        <w:rPr>
          <w:sz w:val="20"/>
          <w:szCs w:val="20"/>
        </w:rPr>
        <w:t xml:space="preserve"> Escudero, J. (2013). Reconocimiento Constitucional del Derecho a la Reparación Integral y su Complicado Desarrollo en el Ecuador. Quito: Corte Constitucional del Ecuador. </w:t>
      </w:r>
    </w:p>
  </w:footnote>
  <w:footnote w:id="25">
    <w:p w14:paraId="1C816F42" w14:textId="77777777" w:rsidR="003F2C4A" w:rsidRDefault="003F2C4A">
      <w:pPr>
        <w:rPr>
          <w:sz w:val="20"/>
          <w:szCs w:val="20"/>
        </w:rPr>
      </w:pPr>
      <w:r>
        <w:rPr>
          <w:rStyle w:val="Refdenotaalpie"/>
          <w:vertAlign w:val="superscript"/>
        </w:rPr>
        <w:footnoteRef/>
      </w:r>
      <w:r>
        <w:rPr>
          <w:sz w:val="20"/>
          <w:szCs w:val="20"/>
        </w:rPr>
        <w:t xml:space="preserve"> Cornejo, J. (2016). La Reparación Integral. </w:t>
      </w:r>
      <w:hyperlink r:id="rId14">
        <w:r>
          <w:rPr>
            <w:color w:val="1155CC"/>
            <w:sz w:val="20"/>
            <w:szCs w:val="20"/>
            <w:u w:val="single"/>
          </w:rPr>
          <w:t>https://derechoecuador.com/la-reparacionintegral/</w:t>
        </w:r>
      </w:hyperlink>
      <w:r>
        <w:rPr>
          <w:sz w:val="20"/>
          <w:szCs w:val="20"/>
        </w:rPr>
        <w:t xml:space="preserve"> </w:t>
      </w:r>
    </w:p>
  </w:footnote>
  <w:footnote w:id="26">
    <w:p w14:paraId="2C95F47F" w14:textId="77777777" w:rsidR="003F2C4A" w:rsidRDefault="003F2C4A">
      <w:pPr>
        <w:rPr>
          <w:sz w:val="20"/>
          <w:szCs w:val="20"/>
        </w:rPr>
      </w:pPr>
      <w:r>
        <w:rPr>
          <w:rStyle w:val="Refdenotaalpie"/>
          <w:vertAlign w:val="superscript"/>
        </w:rPr>
        <w:footnoteRef/>
      </w:r>
      <w:r>
        <w:rPr>
          <w:sz w:val="20"/>
          <w:szCs w:val="20"/>
        </w:rPr>
        <w:t xml:space="preserve"> Corte Suprema de Justicia. Sala Penal Permanente. Recurso de Nulidad N°1969- 2016 Lima Norte  </w:t>
      </w:r>
      <w:hyperlink r:id="rId15">
        <w:r>
          <w:rPr>
            <w:color w:val="1155CC"/>
            <w:sz w:val="20"/>
            <w:szCs w:val="20"/>
            <w:u w:val="single"/>
          </w:rPr>
          <w:t>https://www.pj.gob.pe/wps/wcm/connect/995451804fbc2e9a9411945a56224ace/SENTENCIA%2BSPP%2B-%2BCASO%2BRONY%2BGARCIA.pdf?MOD=AJPERES&amp;CACHEID=995451804fbc2e9a9411945a56224ace</w:t>
        </w:r>
      </w:hyperlink>
      <w:r>
        <w:rPr>
          <w:sz w:val="20"/>
          <w:szCs w:val="20"/>
        </w:rPr>
        <w:t xml:space="preserve"> </w:t>
      </w:r>
    </w:p>
  </w:footnote>
  <w:footnote w:id="27">
    <w:p w14:paraId="0FD1647C" w14:textId="77777777" w:rsidR="003F2C4A" w:rsidRDefault="003F2C4A">
      <w:pPr>
        <w:rPr>
          <w:sz w:val="20"/>
          <w:szCs w:val="20"/>
        </w:rPr>
      </w:pPr>
      <w:r>
        <w:rPr>
          <w:rStyle w:val="Refdenotaalpie"/>
          <w:vertAlign w:val="superscript"/>
        </w:rPr>
        <w:footnoteRef/>
      </w:r>
      <w:r>
        <w:rPr>
          <w:sz w:val="20"/>
          <w:szCs w:val="20"/>
        </w:rPr>
        <w:t xml:space="preserve"> Congreso de la República (2018). Ley No. 30838. </w:t>
      </w:r>
      <w:hyperlink r:id="rId16">
        <w:r>
          <w:rPr>
            <w:color w:val="1155CC"/>
            <w:sz w:val="20"/>
            <w:szCs w:val="20"/>
            <w:u w:val="single"/>
          </w:rPr>
          <w:t>https://img.lpderecho.pe/wp-content/uploads/2023/08/Ley-30838-LP-Derecho.pdf</w:t>
        </w:r>
      </w:hyperlink>
      <w:r>
        <w:rPr>
          <w:sz w:val="20"/>
          <w:szCs w:val="20"/>
        </w:rPr>
        <w:t xml:space="preserve"> </w:t>
      </w:r>
    </w:p>
  </w:footnote>
  <w:footnote w:id="28">
    <w:p w14:paraId="6F08B34C" w14:textId="77777777" w:rsidR="003F2C4A" w:rsidRDefault="003F2C4A">
      <w:pPr>
        <w:rPr>
          <w:sz w:val="20"/>
          <w:szCs w:val="20"/>
        </w:rPr>
      </w:pPr>
      <w:r>
        <w:rPr>
          <w:rStyle w:val="Refdenotaalpie"/>
          <w:vertAlign w:val="superscript"/>
        </w:rPr>
        <w:footnoteRef/>
      </w:r>
      <w:r>
        <w:rPr>
          <w:sz w:val="20"/>
          <w:szCs w:val="20"/>
        </w:rPr>
        <w:t xml:space="preserve"> Córdova Silva, C. y Ramos Guevara, R. (2021). Valoración de la reparación civil en procesos judiciales sobre violencia familiar en la mujer Perú, 2019. </w:t>
      </w:r>
      <w:hyperlink r:id="rId17">
        <w:r>
          <w:rPr>
            <w:color w:val="1155CC"/>
            <w:sz w:val="20"/>
            <w:szCs w:val="20"/>
            <w:u w:val="single"/>
          </w:rPr>
          <w:t>https://repositorio.ucv.edu.pe/bitstream/handle/20.500.12692/70885/C%c3%b3rdova_SCJA-SD.pdf?sequence=1&amp;isAllowed=y</w:t>
        </w:r>
      </w:hyperlink>
      <w:r>
        <w:rPr>
          <w:sz w:val="20"/>
          <w:szCs w:val="20"/>
        </w:rPr>
        <w:t xml:space="preserve"> </w:t>
      </w:r>
    </w:p>
  </w:footnote>
  <w:footnote w:id="29">
    <w:p w14:paraId="3BD36B09" w14:textId="77777777" w:rsidR="003F2C4A" w:rsidRDefault="003F2C4A">
      <w:pPr>
        <w:rPr>
          <w:sz w:val="20"/>
          <w:szCs w:val="20"/>
        </w:rPr>
      </w:pPr>
      <w:r>
        <w:rPr>
          <w:rStyle w:val="Refdenotaalpie"/>
          <w:vertAlign w:val="superscript"/>
        </w:rPr>
        <w:footnoteRef/>
      </w:r>
      <w:r>
        <w:rPr>
          <w:sz w:val="20"/>
          <w:szCs w:val="20"/>
        </w:rPr>
        <w:t xml:space="preserve"> Ley No. 30364 de 2015. </w:t>
      </w:r>
      <w:hyperlink r:id="rId18">
        <w:r>
          <w:rPr>
            <w:color w:val="1155CC"/>
            <w:sz w:val="20"/>
            <w:szCs w:val="20"/>
            <w:u w:val="single"/>
          </w:rPr>
          <w:t>https://www.defensoria.gob.pe/deunavezportodas/wp-content/uploads/2019/02/Ley3036_erradicarviolencia.pdf</w:t>
        </w:r>
      </w:hyperlink>
      <w:r>
        <w:rPr>
          <w:sz w:val="20"/>
          <w:szCs w:val="20"/>
        </w:rPr>
        <w:t xml:space="preserve"> </w:t>
      </w:r>
    </w:p>
  </w:footnote>
  <w:footnote w:id="30">
    <w:p w14:paraId="38BE1EFF" w14:textId="77777777" w:rsidR="003F2C4A" w:rsidRDefault="003F2C4A">
      <w:pPr>
        <w:rPr>
          <w:sz w:val="20"/>
          <w:szCs w:val="20"/>
        </w:rPr>
      </w:pPr>
      <w:r>
        <w:rPr>
          <w:rStyle w:val="Refdenotaalpie"/>
          <w:vertAlign w:val="superscript"/>
        </w:rPr>
        <w:footnoteRef/>
      </w:r>
      <w:r>
        <w:rPr>
          <w:sz w:val="20"/>
          <w:szCs w:val="20"/>
        </w:rPr>
        <w:t xml:space="preserve"> </w:t>
      </w:r>
      <w:r>
        <w:rPr>
          <w:sz w:val="20"/>
          <w:szCs w:val="20"/>
          <w:highlight w:val="white"/>
        </w:rPr>
        <w:t>Ley 348 de 2013.</w:t>
      </w:r>
      <w:r>
        <w:rPr>
          <w:rFonts w:ascii="Arial" w:eastAsia="Arial" w:hAnsi="Arial" w:cs="Arial"/>
          <w:highlight w:val="white"/>
        </w:rPr>
        <w:t xml:space="preserve"> </w:t>
      </w:r>
      <w:hyperlink r:id="rId19">
        <w:r>
          <w:rPr>
            <w:color w:val="1155CC"/>
            <w:sz w:val="20"/>
            <w:szCs w:val="20"/>
            <w:u w:val="single"/>
          </w:rPr>
          <w:t>https://oig.cepal.org/sites/default/files/2013_bol_ley348.pdf</w:t>
        </w:r>
      </w:hyperlink>
      <w:r>
        <w:rPr>
          <w:sz w:val="20"/>
          <w:szCs w:val="20"/>
        </w:rPr>
        <w:t xml:space="preserve"> </w:t>
      </w:r>
    </w:p>
  </w:footnote>
  <w:footnote w:id="31">
    <w:p w14:paraId="70B7F799" w14:textId="77777777" w:rsidR="003F2C4A" w:rsidRDefault="003F2C4A">
      <w:pPr>
        <w:rPr>
          <w:sz w:val="20"/>
          <w:szCs w:val="20"/>
        </w:rPr>
      </w:pPr>
      <w:r>
        <w:rPr>
          <w:rStyle w:val="Refdenotaalpie"/>
          <w:vertAlign w:val="superscript"/>
        </w:rPr>
        <w:footnoteRef/>
      </w:r>
      <w:r>
        <w:rPr>
          <w:sz w:val="20"/>
          <w:szCs w:val="20"/>
        </w:rPr>
        <w:t xml:space="preserve">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3699" w14:textId="77777777" w:rsidR="003F2C4A" w:rsidRDefault="003F2C4A">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val="es-CO" w:eastAsia="es-CO"/>
      </w:rPr>
      <w:drawing>
        <wp:anchor distT="0" distB="0" distL="114300" distR="114300" simplePos="0" relativeHeight="251658240" behindDoc="0" locked="0" layoutInCell="1" hidden="0" allowOverlap="1" wp14:anchorId="3A590D5F" wp14:editId="0562BC2C">
          <wp:simplePos x="0" y="0"/>
          <wp:positionH relativeFrom="margin">
            <wp:posOffset>-381000</wp:posOffset>
          </wp:positionH>
          <wp:positionV relativeFrom="paragraph">
            <wp:posOffset>165735</wp:posOffset>
          </wp:positionV>
          <wp:extent cx="2054909" cy="651619"/>
          <wp:effectExtent l="0" t="0" r="254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4909" cy="651619"/>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37D9A27A" wp14:editId="333AE887">
          <wp:simplePos x="0" y="0"/>
          <wp:positionH relativeFrom="margin">
            <wp:posOffset>4403725</wp:posOffset>
          </wp:positionH>
          <wp:positionV relativeFrom="paragraph">
            <wp:posOffset>53975</wp:posOffset>
          </wp:positionV>
          <wp:extent cx="1371600" cy="762635"/>
          <wp:effectExtent l="0" t="0" r="0" b="0"/>
          <wp:wrapSquare wrapText="bothSides" distT="0" distB="0" distL="114300" distR="114300"/>
          <wp:docPr id="8" name="image2.png" descr="Imagen que contiene botella, firmar, camioneta, gent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botella, firmar, camioneta, gente&#10;&#10;Descripción generada automáticamente"/>
                  <pic:cNvPicPr preferRelativeResize="0"/>
                </pic:nvPicPr>
                <pic:blipFill>
                  <a:blip r:embed="rId2"/>
                  <a:srcRect/>
                  <a:stretch>
                    <a:fillRect/>
                  </a:stretch>
                </pic:blipFill>
                <pic:spPr>
                  <a:xfrm>
                    <a:off x="0" y="0"/>
                    <a:ext cx="1371600" cy="762635"/>
                  </a:xfrm>
                  <a:prstGeom prst="rect">
                    <a:avLst/>
                  </a:prstGeom>
                  <a:ln/>
                </pic:spPr>
              </pic:pic>
            </a:graphicData>
          </a:graphic>
        </wp:anchor>
      </w:drawing>
    </w:r>
  </w:p>
  <w:p w14:paraId="073D7BFA" w14:textId="77777777" w:rsidR="003F2C4A" w:rsidRDefault="003F2C4A">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5CC9EAFA"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49486BC3"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7A5AE3BD"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0BDFC9F1"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FCD"/>
    <w:multiLevelType w:val="multilevel"/>
    <w:tmpl w:val="8050EB5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CE1F8B"/>
    <w:multiLevelType w:val="multilevel"/>
    <w:tmpl w:val="BF52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05652"/>
    <w:multiLevelType w:val="multilevel"/>
    <w:tmpl w:val="7A744E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459F0"/>
    <w:multiLevelType w:val="multilevel"/>
    <w:tmpl w:val="3EA0F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D05CE9"/>
    <w:multiLevelType w:val="multilevel"/>
    <w:tmpl w:val="27CC3F94"/>
    <w:lvl w:ilvl="0">
      <w:start w:val="1"/>
      <w:numFmt w:val="lowerLetter"/>
      <w:lvlText w:val="%1."/>
      <w:lvlJc w:val="left"/>
      <w:pPr>
        <w:ind w:left="720" w:hanging="360"/>
      </w:pPr>
      <w:rPr>
        <w:rFonts w:ascii="Arial" w:eastAsia="Arial" w:hAnsi="Arial" w:cs="Arial"/>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5" w15:restartNumberingAfterBreak="0">
    <w:nsid w:val="0B2545B6"/>
    <w:multiLevelType w:val="multilevel"/>
    <w:tmpl w:val="F4C02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B62FD7"/>
    <w:multiLevelType w:val="multilevel"/>
    <w:tmpl w:val="2204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B7812"/>
    <w:multiLevelType w:val="multilevel"/>
    <w:tmpl w:val="27A695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34100"/>
    <w:multiLevelType w:val="multilevel"/>
    <w:tmpl w:val="D5B2C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93C9A"/>
    <w:multiLevelType w:val="multilevel"/>
    <w:tmpl w:val="59A0E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6011E6"/>
    <w:multiLevelType w:val="multilevel"/>
    <w:tmpl w:val="C282AA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E723CCD"/>
    <w:multiLevelType w:val="multilevel"/>
    <w:tmpl w:val="92B6C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713A2C"/>
    <w:multiLevelType w:val="multilevel"/>
    <w:tmpl w:val="ED72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F28E7"/>
    <w:multiLevelType w:val="multilevel"/>
    <w:tmpl w:val="C44E9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C016CD"/>
    <w:multiLevelType w:val="multilevel"/>
    <w:tmpl w:val="F4C02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C60E23"/>
    <w:multiLevelType w:val="multilevel"/>
    <w:tmpl w:val="8050EB5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3D0000B"/>
    <w:multiLevelType w:val="multilevel"/>
    <w:tmpl w:val="BB4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182AA8"/>
    <w:multiLevelType w:val="multilevel"/>
    <w:tmpl w:val="B1FA504A"/>
    <w:lvl w:ilvl="0">
      <w:start w:val="1"/>
      <w:numFmt w:val="lowerLetter"/>
      <w:lvlText w:val="%1."/>
      <w:lvlJc w:val="left"/>
      <w:pPr>
        <w:ind w:left="720" w:hanging="360"/>
      </w:pPr>
      <w:rPr>
        <w:rFonts w:ascii="Arial" w:eastAsia="Arial" w:hAnsi="Arial" w:cs="Arial"/>
        <w:b/>
        <w:strik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77D06A2"/>
    <w:multiLevelType w:val="multilevel"/>
    <w:tmpl w:val="F4C02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5403C"/>
    <w:multiLevelType w:val="multilevel"/>
    <w:tmpl w:val="FDC88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7D61A1"/>
    <w:multiLevelType w:val="multilevel"/>
    <w:tmpl w:val="06C2A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C76A2"/>
    <w:multiLevelType w:val="hybridMultilevel"/>
    <w:tmpl w:val="EC88AAA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15:restartNumberingAfterBreak="0">
    <w:nsid w:val="51A61598"/>
    <w:multiLevelType w:val="multilevel"/>
    <w:tmpl w:val="16088E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 w15:restartNumberingAfterBreak="0">
    <w:nsid w:val="52A00219"/>
    <w:multiLevelType w:val="multilevel"/>
    <w:tmpl w:val="3F2E29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65832F4"/>
    <w:multiLevelType w:val="multilevel"/>
    <w:tmpl w:val="F9C48A0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58615A52"/>
    <w:multiLevelType w:val="multilevel"/>
    <w:tmpl w:val="A558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D02F3D"/>
    <w:multiLevelType w:val="multilevel"/>
    <w:tmpl w:val="C3FE7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2BB"/>
    <w:multiLevelType w:val="multilevel"/>
    <w:tmpl w:val="9BE2A592"/>
    <w:lvl w:ilvl="0">
      <w:start w:val="1"/>
      <w:numFmt w:val="lowerLetter"/>
      <w:lvlText w:val="%1."/>
      <w:lvlJc w:val="left"/>
      <w:pPr>
        <w:ind w:left="720" w:hanging="360"/>
      </w:pPr>
      <w:rPr>
        <w:rFonts w:ascii="Arial" w:eastAsia="Arial" w:hAnsi="Arial" w:cs="Arial"/>
        <w:b/>
        <w:strike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FC312B1"/>
    <w:multiLevelType w:val="multilevel"/>
    <w:tmpl w:val="6C2C631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1EF4B26"/>
    <w:multiLevelType w:val="hybridMultilevel"/>
    <w:tmpl w:val="7CC4E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941FBF"/>
    <w:multiLevelType w:val="multilevel"/>
    <w:tmpl w:val="8050EB5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005418A"/>
    <w:multiLevelType w:val="multilevel"/>
    <w:tmpl w:val="8BB2AA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216400"/>
    <w:multiLevelType w:val="multilevel"/>
    <w:tmpl w:val="20A24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EC35F4"/>
    <w:multiLevelType w:val="multilevel"/>
    <w:tmpl w:val="0502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D306BE"/>
    <w:multiLevelType w:val="multilevel"/>
    <w:tmpl w:val="AF5CC8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7D5086D"/>
    <w:multiLevelType w:val="multilevel"/>
    <w:tmpl w:val="9416B0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99B7E9A"/>
    <w:multiLevelType w:val="hybridMultilevel"/>
    <w:tmpl w:val="53A2F710"/>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B030664"/>
    <w:multiLevelType w:val="multilevel"/>
    <w:tmpl w:val="A23C8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B92F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C6130F"/>
    <w:multiLevelType w:val="multilevel"/>
    <w:tmpl w:val="A9D4BA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7"/>
  </w:num>
  <w:num w:numId="2">
    <w:abstractNumId w:val="16"/>
  </w:num>
  <w:num w:numId="3">
    <w:abstractNumId w:val="39"/>
  </w:num>
  <w:num w:numId="4">
    <w:abstractNumId w:val="23"/>
  </w:num>
  <w:num w:numId="5">
    <w:abstractNumId w:val="19"/>
  </w:num>
  <w:num w:numId="6">
    <w:abstractNumId w:val="3"/>
  </w:num>
  <w:num w:numId="7">
    <w:abstractNumId w:val="9"/>
  </w:num>
  <w:num w:numId="8">
    <w:abstractNumId w:val="28"/>
  </w:num>
  <w:num w:numId="9">
    <w:abstractNumId w:val="38"/>
  </w:num>
  <w:num w:numId="10">
    <w:abstractNumId w:val="34"/>
  </w:num>
  <w:num w:numId="11">
    <w:abstractNumId w:val="2"/>
  </w:num>
  <w:num w:numId="12">
    <w:abstractNumId w:val="20"/>
  </w:num>
  <w:num w:numId="13">
    <w:abstractNumId w:val="12"/>
  </w:num>
  <w:num w:numId="14">
    <w:abstractNumId w:val="11"/>
  </w:num>
  <w:num w:numId="15">
    <w:abstractNumId w:val="8"/>
  </w:num>
  <w:num w:numId="16">
    <w:abstractNumId w:val="33"/>
  </w:num>
  <w:num w:numId="17">
    <w:abstractNumId w:val="26"/>
  </w:num>
  <w:num w:numId="18">
    <w:abstractNumId w:val="1"/>
  </w:num>
  <w:num w:numId="19">
    <w:abstractNumId w:val="13"/>
  </w:num>
  <w:num w:numId="20">
    <w:abstractNumId w:val="32"/>
  </w:num>
  <w:num w:numId="21">
    <w:abstractNumId w:val="37"/>
  </w:num>
  <w:num w:numId="22">
    <w:abstractNumId w:val="10"/>
  </w:num>
  <w:num w:numId="23">
    <w:abstractNumId w:val="24"/>
  </w:num>
  <w:num w:numId="24">
    <w:abstractNumId w:val="14"/>
  </w:num>
  <w:num w:numId="25">
    <w:abstractNumId w:val="0"/>
  </w:num>
  <w:num w:numId="26">
    <w:abstractNumId w:val="4"/>
  </w:num>
  <w:num w:numId="27">
    <w:abstractNumId w:val="22"/>
  </w:num>
  <w:num w:numId="28">
    <w:abstractNumId w:val="29"/>
  </w:num>
  <w:num w:numId="29">
    <w:abstractNumId w:val="35"/>
  </w:num>
  <w:num w:numId="30">
    <w:abstractNumId w:val="36"/>
  </w:num>
  <w:num w:numId="31">
    <w:abstractNumId w:val="31"/>
  </w:num>
  <w:num w:numId="32">
    <w:abstractNumId w:val="21"/>
  </w:num>
  <w:num w:numId="33">
    <w:abstractNumId w:val="25"/>
  </w:num>
  <w:num w:numId="34">
    <w:abstractNumId w:val="6"/>
  </w:num>
  <w:num w:numId="35">
    <w:abstractNumId w:val="17"/>
  </w:num>
  <w:num w:numId="36">
    <w:abstractNumId w:val="27"/>
  </w:num>
  <w:num w:numId="37">
    <w:abstractNumId w:val="15"/>
  </w:num>
  <w:num w:numId="38">
    <w:abstractNumId w:val="18"/>
  </w:num>
  <w:num w:numId="39">
    <w:abstractNumId w:val="3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71"/>
    <w:rsid w:val="00031F65"/>
    <w:rsid w:val="00075623"/>
    <w:rsid w:val="001E0A42"/>
    <w:rsid w:val="001F6A85"/>
    <w:rsid w:val="00207D91"/>
    <w:rsid w:val="00305829"/>
    <w:rsid w:val="00340AE5"/>
    <w:rsid w:val="00385234"/>
    <w:rsid w:val="003F2C4A"/>
    <w:rsid w:val="004B2688"/>
    <w:rsid w:val="00552271"/>
    <w:rsid w:val="00595DAB"/>
    <w:rsid w:val="0059699A"/>
    <w:rsid w:val="00676E2B"/>
    <w:rsid w:val="00677A8D"/>
    <w:rsid w:val="006D791A"/>
    <w:rsid w:val="00776625"/>
    <w:rsid w:val="008119B3"/>
    <w:rsid w:val="00855568"/>
    <w:rsid w:val="00904AD0"/>
    <w:rsid w:val="00A53D4F"/>
    <w:rsid w:val="00A72A7B"/>
    <w:rsid w:val="00A97D62"/>
    <w:rsid w:val="00AF77CF"/>
    <w:rsid w:val="00B1498B"/>
    <w:rsid w:val="00B84BE1"/>
    <w:rsid w:val="00B8588F"/>
    <w:rsid w:val="00C14DAE"/>
    <w:rsid w:val="00CA2EA8"/>
    <w:rsid w:val="00CE3C63"/>
    <w:rsid w:val="00D2146A"/>
    <w:rsid w:val="00DD577D"/>
    <w:rsid w:val="00DE0D0E"/>
    <w:rsid w:val="00E21885"/>
    <w:rsid w:val="00E720C9"/>
    <w:rsid w:val="00E736FB"/>
    <w:rsid w:val="00F44957"/>
    <w:rsid w:val="00F50208"/>
    <w:rsid w:val="00F5468B"/>
    <w:rsid w:val="00FD5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9146C"/>
  <w15:docId w15:val="{F4998BD3-478B-4F98-A4CE-CF4E3512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208"/>
    <w:rPr>
      <w:lang w:eastAsia="es-ES_tradnl"/>
    </w:rPr>
  </w:style>
  <w:style w:type="paragraph" w:styleId="Ttulo1">
    <w:name w:val="heading 1"/>
    <w:basedOn w:val="Normal"/>
    <w:next w:val="Normal"/>
    <w:link w:val="Ttulo1Car"/>
    <w:uiPriority w:val="9"/>
    <w:qFormat/>
    <w:rsid w:val="007C51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37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CO" w:eastAsia="es-CO"/>
    </w:rPr>
  </w:style>
  <w:style w:type="paragraph" w:styleId="Ttulo4">
    <w:name w:val="heading 4"/>
    <w:basedOn w:val="Normal"/>
    <w:next w:val="Normal"/>
    <w:link w:val="Ttulo4Car"/>
    <w:uiPriority w:val="9"/>
    <w:unhideWhenUsed/>
    <w:qFormat/>
    <w:rsid w:val="00EE4A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basedOn w:val="Normal"/>
    <w:uiPriority w:val="34"/>
    <w:qFormat/>
    <w:rsid w:val="00AB24F3"/>
    <w:pPr>
      <w:spacing w:after="200" w:line="276"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2Car">
    <w:name w:val="Título 2 Car"/>
    <w:basedOn w:val="Fuentedeprrafopredeter"/>
    <w:link w:val="Ttulo2"/>
    <w:uiPriority w:val="9"/>
    <w:rsid w:val="0033763C"/>
    <w:rPr>
      <w:rFonts w:asciiTheme="majorHAnsi" w:eastAsiaTheme="majorEastAsia" w:hAnsiTheme="majorHAnsi" w:cstheme="majorBidi"/>
      <w:color w:val="365F91" w:themeColor="accent1" w:themeShade="BF"/>
      <w:sz w:val="26"/>
      <w:szCs w:val="26"/>
      <w:lang w:val="es-ES_tradnl" w:eastAsia="es-ES_tradnl"/>
    </w:rPr>
  </w:style>
  <w:style w:type="character" w:customStyle="1" w:styleId="charoverride-7">
    <w:name w:val="charoverride-7"/>
    <w:basedOn w:val="Fuentedeprrafopredeter"/>
    <w:rsid w:val="00222300"/>
  </w:style>
  <w:style w:type="paragraph" w:customStyle="1" w:styleId="estlos-gacetasp-rrafos">
    <w:name w:val="estlos-gacetas_p-rrafos"/>
    <w:basedOn w:val="Normal"/>
    <w:rsid w:val="00222300"/>
    <w:pPr>
      <w:spacing w:before="100" w:beforeAutospacing="1" w:after="100" w:afterAutospacing="1"/>
    </w:pPr>
    <w:rPr>
      <w:lang w:val="es-CO" w:eastAsia="es-CO"/>
    </w:rPr>
  </w:style>
  <w:style w:type="character" w:customStyle="1" w:styleId="charoverride-8">
    <w:name w:val="charoverride-8"/>
    <w:basedOn w:val="Fuentedeprrafopredeter"/>
    <w:rsid w:val="00A73F1F"/>
  </w:style>
  <w:style w:type="character" w:customStyle="1" w:styleId="charoverride-9">
    <w:name w:val="charoverride-9"/>
    <w:basedOn w:val="Fuentedeprrafopredeter"/>
    <w:rsid w:val="00A73F1F"/>
  </w:style>
  <w:style w:type="table" w:styleId="Tablaconcuadrcula">
    <w:name w:val="Table Grid"/>
    <w:basedOn w:val="Tablanormal"/>
    <w:uiPriority w:val="59"/>
    <w:rsid w:val="0060477A"/>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EF2908"/>
    <w:pPr>
      <w:spacing w:before="100" w:beforeAutospacing="1" w:after="100" w:afterAutospacing="1"/>
    </w:pPr>
  </w:style>
  <w:style w:type="character" w:customStyle="1" w:styleId="baj">
    <w:name w:val="b_aj"/>
    <w:basedOn w:val="Fuentedeprrafopredeter"/>
    <w:rsid w:val="00EF2908"/>
  </w:style>
  <w:style w:type="paragraph" w:customStyle="1" w:styleId="bordeespecial">
    <w:name w:val="borde_especial"/>
    <w:basedOn w:val="Normal"/>
    <w:rsid w:val="002B1CF0"/>
    <w:pPr>
      <w:spacing w:before="100" w:beforeAutospacing="1" w:after="100" w:afterAutospacing="1"/>
    </w:pPr>
    <w:rPr>
      <w:lang w:val="es-CO" w:eastAsia="es-CO"/>
    </w:rPr>
  </w:style>
  <w:style w:type="character" w:styleId="Refdenotaalpie">
    <w:name w:val="footnote reference"/>
    <w:basedOn w:val="Fuentedeprrafopredeter"/>
    <w:uiPriority w:val="99"/>
    <w:semiHidden/>
    <w:unhideWhenUsed/>
    <w:rsid w:val="007C51A9"/>
  </w:style>
  <w:style w:type="character" w:customStyle="1" w:styleId="Ttulo1Car">
    <w:name w:val="Título 1 Car"/>
    <w:basedOn w:val="Fuentedeprrafopredeter"/>
    <w:link w:val="Ttulo1"/>
    <w:uiPriority w:val="9"/>
    <w:rsid w:val="007C51A9"/>
    <w:rPr>
      <w:rFonts w:asciiTheme="majorHAnsi" w:eastAsiaTheme="majorEastAsia" w:hAnsiTheme="majorHAnsi" w:cstheme="majorBidi"/>
      <w:color w:val="365F91" w:themeColor="accent1" w:themeShade="BF"/>
      <w:sz w:val="32"/>
      <w:szCs w:val="32"/>
      <w:lang w:val="es-ES_tradnl" w:eastAsia="es-ES_tradnl"/>
    </w:rPr>
  </w:style>
  <w:style w:type="paragraph" w:customStyle="1" w:styleId="temaparra">
    <w:name w:val="temaparra"/>
    <w:basedOn w:val="Normal"/>
    <w:rsid w:val="00A11029"/>
    <w:pPr>
      <w:spacing w:before="100" w:beforeAutospacing="1" w:after="100" w:afterAutospacing="1"/>
    </w:pPr>
  </w:style>
  <w:style w:type="character" w:styleId="Hipervnculovisitado">
    <w:name w:val="FollowedHyperlink"/>
    <w:basedOn w:val="Fuentedeprrafopredeter"/>
    <w:uiPriority w:val="99"/>
    <w:semiHidden/>
    <w:unhideWhenUsed/>
    <w:rsid w:val="002961FE"/>
    <w:rPr>
      <w:color w:val="800080" w:themeColor="followedHyperlink"/>
      <w:u w:val="single"/>
    </w:rPr>
  </w:style>
  <w:style w:type="paragraph" w:customStyle="1" w:styleId="font8">
    <w:name w:val="font_8"/>
    <w:basedOn w:val="Normal"/>
    <w:rsid w:val="00AF7251"/>
    <w:pPr>
      <w:spacing w:before="100" w:beforeAutospacing="1" w:after="100" w:afterAutospacing="1"/>
    </w:pPr>
    <w:rPr>
      <w:lang w:val="es-CO" w:eastAsia="es-CO"/>
    </w:rPr>
  </w:style>
  <w:style w:type="character" w:customStyle="1" w:styleId="Ttulo4Car">
    <w:name w:val="Título 4 Car"/>
    <w:basedOn w:val="Fuentedeprrafopredeter"/>
    <w:link w:val="Ttulo4"/>
    <w:uiPriority w:val="9"/>
    <w:rsid w:val="00EE4AD3"/>
    <w:rPr>
      <w:rFonts w:asciiTheme="majorHAnsi" w:eastAsiaTheme="majorEastAsia" w:hAnsiTheme="majorHAnsi" w:cstheme="majorBidi"/>
      <w:i/>
      <w:iCs/>
      <w:color w:val="365F91" w:themeColor="accent1" w:themeShade="BF"/>
      <w:sz w:val="24"/>
      <w:szCs w:val="24"/>
      <w:lang w:val="es-ES_tradnl" w:eastAsia="es-ES_tradnl"/>
    </w:rPr>
  </w:style>
  <w:style w:type="paragraph" w:customStyle="1" w:styleId="parrafo-division">
    <w:name w:val="parrafo-division"/>
    <w:basedOn w:val="Normal"/>
    <w:rsid w:val="0042661E"/>
    <w:pPr>
      <w:spacing w:before="100" w:beforeAutospacing="1" w:after="100" w:afterAutospacing="1"/>
    </w:pPr>
    <w:rPr>
      <w:lang w:val="es-CO" w:eastAsia="es-CO"/>
    </w:rPr>
  </w:style>
  <w:style w:type="character" w:customStyle="1" w:styleId="toctoggle">
    <w:name w:val="toctoggle"/>
    <w:basedOn w:val="Fuentedeprrafopredeter"/>
    <w:rsid w:val="0042661E"/>
  </w:style>
  <w:style w:type="character" w:customStyle="1" w:styleId="Mencinsinresolver1">
    <w:name w:val="Mención sin resolver1"/>
    <w:basedOn w:val="Fuentedeprrafopredeter"/>
    <w:uiPriority w:val="99"/>
    <w:rsid w:val="00E35310"/>
    <w:rPr>
      <w:color w:val="605E5C"/>
      <w:shd w:val="clear" w:color="auto" w:fill="E1DFDD"/>
    </w:rPr>
  </w:style>
  <w:style w:type="paragraph" w:customStyle="1" w:styleId="static">
    <w:name w:val="static"/>
    <w:basedOn w:val="Normal"/>
    <w:rsid w:val="00E35310"/>
    <w:pPr>
      <w:spacing w:before="100" w:beforeAutospacing="1" w:after="100" w:afterAutospacing="1"/>
    </w:pPr>
  </w:style>
  <w:style w:type="character" w:customStyle="1" w:styleId="menu-item-text">
    <w:name w:val="menu-item-text"/>
    <w:basedOn w:val="Fuentedeprrafopredeter"/>
    <w:rsid w:val="00E35310"/>
  </w:style>
  <w:style w:type="character" w:customStyle="1" w:styleId="ms-hidden">
    <w:name w:val="ms-hidden"/>
    <w:basedOn w:val="Fuentedeprrafopredeter"/>
    <w:rsid w:val="00E35310"/>
  </w:style>
  <w:style w:type="character" w:customStyle="1" w:styleId="articulo-subtitulo">
    <w:name w:val="articulo-subtitulo"/>
    <w:basedOn w:val="Fuentedeprrafopredeter"/>
    <w:rsid w:val="00C34EBF"/>
  </w:style>
  <w:style w:type="paragraph" w:customStyle="1" w:styleId="texto">
    <w:name w:val="texto"/>
    <w:basedOn w:val="Normal"/>
    <w:rsid w:val="00C34EBF"/>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9949">
      <w:bodyDiv w:val="1"/>
      <w:marLeft w:val="0"/>
      <w:marRight w:val="0"/>
      <w:marTop w:val="0"/>
      <w:marBottom w:val="0"/>
      <w:divBdr>
        <w:top w:val="none" w:sz="0" w:space="0" w:color="auto"/>
        <w:left w:val="none" w:sz="0" w:space="0" w:color="auto"/>
        <w:bottom w:val="none" w:sz="0" w:space="0" w:color="auto"/>
        <w:right w:val="none" w:sz="0" w:space="0" w:color="auto"/>
      </w:divBdr>
    </w:div>
    <w:div w:id="313026060">
      <w:bodyDiv w:val="1"/>
      <w:marLeft w:val="0"/>
      <w:marRight w:val="0"/>
      <w:marTop w:val="0"/>
      <w:marBottom w:val="0"/>
      <w:divBdr>
        <w:top w:val="none" w:sz="0" w:space="0" w:color="auto"/>
        <w:left w:val="none" w:sz="0" w:space="0" w:color="auto"/>
        <w:bottom w:val="none" w:sz="0" w:space="0" w:color="auto"/>
        <w:right w:val="none" w:sz="0" w:space="0" w:color="auto"/>
      </w:divBdr>
    </w:div>
    <w:div w:id="1769081705">
      <w:bodyDiv w:val="1"/>
      <w:marLeft w:val="0"/>
      <w:marRight w:val="0"/>
      <w:marTop w:val="0"/>
      <w:marBottom w:val="0"/>
      <w:divBdr>
        <w:top w:val="none" w:sz="0" w:space="0" w:color="auto"/>
        <w:left w:val="none" w:sz="0" w:space="0" w:color="auto"/>
        <w:bottom w:val="none" w:sz="0" w:space="0" w:color="auto"/>
        <w:right w:val="none" w:sz="0" w:space="0" w:color="auto"/>
      </w:divBdr>
    </w:div>
    <w:div w:id="182963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codigo_civi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S0140-6736(14)61797-9" TargetMode="External"/><Relationship Id="rId13" Type="http://schemas.openxmlformats.org/officeDocument/2006/relationships/hyperlink" Target="http://dx.doi.org/10.18272/iu.v28i28.2145" TargetMode="External"/><Relationship Id="rId18" Type="http://schemas.openxmlformats.org/officeDocument/2006/relationships/hyperlink" Target="https://www.defensoria.gob.pe/deunavezportodas/wp-content/uploads/2019/02/Ley3036_erradicarviolencia.pdf" TargetMode="External"/><Relationship Id="rId3" Type="http://schemas.openxmlformats.org/officeDocument/2006/relationships/hyperlink" Target="https://www.sispro.gov.co/observatorios/onviolenciasgenero/Paginas/home.aspx" TargetMode="External"/><Relationship Id="rId7" Type="http://schemas.openxmlformats.org/officeDocument/2006/relationships/hyperlink" Target="https://doi.org/10.1016/j.socscimed.2015.10.016" TargetMode="External"/><Relationship Id="rId12" Type="http://schemas.openxmlformats.org/officeDocument/2006/relationships/hyperlink" Target="https://repositorio.uasb.edu.ec/bitstream/10644/7788/1/T3371-MDC-Abad-La%20dimension.pdf" TargetMode="External"/><Relationship Id="rId17" Type="http://schemas.openxmlformats.org/officeDocument/2006/relationships/hyperlink" Target="https://repositorio.ucv.edu.pe/bitstream/handle/20.500.12692/70885/C%c3%b3rdova_SCJA-SD.pdf?sequence=1&amp;isAllowed=y" TargetMode="External"/><Relationship Id="rId2" Type="http://schemas.openxmlformats.org/officeDocument/2006/relationships/hyperlink" Target="https://doi.org/10.21500/16578031.6040" TargetMode="External"/><Relationship Id="rId16" Type="http://schemas.openxmlformats.org/officeDocument/2006/relationships/hyperlink" Target="https://img.lpderecho.pe/wp-content/uploads/2023/08/Ley-30838-LP-Derecho.pdf" TargetMode="External"/><Relationship Id="rId1" Type="http://schemas.openxmlformats.org/officeDocument/2006/relationships/hyperlink" Target="https://www.who.int/data/gho/data/indicators/indicator-details/GHO/intimate-partner-violence-lifetime" TargetMode="External"/><Relationship Id="rId6" Type="http://schemas.openxmlformats.org/officeDocument/2006/relationships/hyperlink" Target="https://doi.org/10.1177/1077801214564167" TargetMode="External"/><Relationship Id="rId11" Type="http://schemas.openxmlformats.org/officeDocument/2006/relationships/hyperlink" Target="http://dx.doi.org/10.18272/iu.v28i28.2145" TargetMode="External"/><Relationship Id="rId5" Type="http://schemas.openxmlformats.org/officeDocument/2006/relationships/hyperlink" Target="https://www.medicinalegal.gov.co/documents/20143/1003294/Boletin_abril_2024.pdf" TargetMode="External"/><Relationship Id="rId15" Type="http://schemas.openxmlformats.org/officeDocument/2006/relationships/hyperlink" Target="https://www.pj.gob.pe/wps/wcm/connect/995451804fbc2e9a9411945a56224ace/SENTENCIA%2BSPP%2B-%2BCASO%2BRONY%2BGARCIA.pdf?MOD=AJPERES&amp;CACHEID=995451804fbc2e9a9411945a56224ace" TargetMode="External"/><Relationship Id="rId10" Type="http://schemas.openxmlformats.org/officeDocument/2006/relationships/hyperlink" Target="https://www.eltiempo.com/justicia/servicios/cuanto-es-lo-maximo-que-puede-durar-un-proceso-penal-en-colombia-777380" TargetMode="External"/><Relationship Id="rId19" Type="http://schemas.openxmlformats.org/officeDocument/2006/relationships/hyperlink" Target="https://oig.cepal.org/sites/default/files/2013_bol_ley348.pdf" TargetMode="External"/><Relationship Id="rId4" Type="http://schemas.openxmlformats.org/officeDocument/2006/relationships/hyperlink" Target="https://www.sismamujer.org/wp-content/uploads/2021/08/27-11-2020-Derechos-de-las-Mujeres-y-COVID-19_-Sisma-Mujer.pdf" TargetMode="External"/><Relationship Id="rId9" Type="http://schemas.openxmlformats.org/officeDocument/2006/relationships/hyperlink" Target="https://www.eltiempo.com/justicia/servicios/cuanto-es-lo-maximo-que-puede-durar-un-proceso-penal-en-colombia-777380" TargetMode="External"/><Relationship Id="rId14" Type="http://schemas.openxmlformats.org/officeDocument/2006/relationships/hyperlink" Target="https://derechoecuador.com/la-reparacioninteg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37872157E4854CB7859389C19C579A" ma:contentTypeVersion="16" ma:contentTypeDescription="Crear nuevo documento." ma:contentTypeScope="" ma:versionID="a78fdbb4bf26afe7bea536c85c9f7f4c">
  <xsd:schema xmlns:xsd="http://www.w3.org/2001/XMLSchema" xmlns:xs="http://www.w3.org/2001/XMLSchema" xmlns:p="http://schemas.microsoft.com/office/2006/metadata/properties" xmlns:ns3="33209f22-3570-412a-a7dc-a5c735dc1e70" xmlns:ns4="b33f0696-be8b-4ef0-8841-da61b81691e2" targetNamespace="http://schemas.microsoft.com/office/2006/metadata/properties" ma:root="true" ma:fieldsID="9ab82f75a5a96a0064cb4c8547a1bfac" ns3:_="" ns4:_="">
    <xsd:import namespace="33209f22-3570-412a-a7dc-a5c735dc1e70"/>
    <xsd:import namespace="b33f0696-be8b-4ef0-8841-da61b81691e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09f22-3570-412a-a7dc-a5c735dc1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f0696-be8b-4ef0-8841-da61b81691e2"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209f22-3570-412a-a7dc-a5c735dc1e70"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op0X3q3vVMn+rslnZpRvdb+Yw==">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DBAB-1CF0-4EB3-BB7C-33446950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09f22-3570-412a-a7dc-a5c735dc1e70"/>
    <ds:schemaRef ds:uri="b33f0696-be8b-4ef0-8841-da61b8169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0A767-0E55-47D2-89FA-DC92FAC83443}">
  <ds:schemaRefs>
    <ds:schemaRef ds:uri="http://schemas.microsoft.com/sharepoint/v3/contenttype/forms"/>
  </ds:schemaRefs>
</ds:datastoreItem>
</file>

<file path=customXml/itemProps3.xml><?xml version="1.0" encoding="utf-8"?>
<ds:datastoreItem xmlns:ds="http://schemas.openxmlformats.org/officeDocument/2006/customXml" ds:itemID="{4CA6E640-C191-422D-9FA0-EBAE41174C50}">
  <ds:schemaRefs>
    <ds:schemaRef ds:uri="http://www.w3.org/XML/1998/namespace"/>
    <ds:schemaRef ds:uri="http://schemas.microsoft.com/office/2006/metadata/properties"/>
    <ds:schemaRef ds:uri="http://purl.org/dc/terms/"/>
    <ds:schemaRef ds:uri="33209f22-3570-412a-a7dc-a5c735dc1e70"/>
    <ds:schemaRef ds:uri="http://schemas.microsoft.com/office/2006/documentManagement/types"/>
    <ds:schemaRef ds:uri="http://schemas.microsoft.com/office/infopath/2007/PartnerControls"/>
    <ds:schemaRef ds:uri="b33f0696-be8b-4ef0-8841-da61b81691e2"/>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791277A-F2BE-48FD-B4D1-E945C014CE67}">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17150</Words>
  <Characters>94325</Characters>
  <Application>Microsoft Office Word</Application>
  <DocSecurity>0</DocSecurity>
  <Lines>786</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Juliana Macias Barreto</cp:lastModifiedBy>
  <cp:revision>2</cp:revision>
  <cp:lastPrinted>2025-05-06T19:52:00Z</cp:lastPrinted>
  <dcterms:created xsi:type="dcterms:W3CDTF">2025-05-06T19:53:00Z</dcterms:created>
  <dcterms:modified xsi:type="dcterms:W3CDTF">2025-05-06T19:53:00Z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0x0101009037872157E4854CB7859389C19C579A</vt:lpwstr>
  </property>
</Properties>
</file>